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afterLines="100" w:line="500" w:lineRule="exact"/>
        <w:jc w:val="center"/>
        <w:rPr>
          <w:rFonts w:hint="eastAsia" w:ascii="方正小标宋_GBK" w:hAnsi="方正小标宋_GBK" w:eastAsia="方正小标宋_GBK" w:cs="方正小标宋_GBK"/>
          <w:b/>
          <w:sz w:val="40"/>
          <w:szCs w:val="40"/>
          <w:lang w:val="en-US" w:eastAsia="zh-CN"/>
        </w:rPr>
      </w:pPr>
      <w:r>
        <w:rPr>
          <w:rFonts w:hint="eastAsia" w:ascii="方正小标宋_GBK" w:hAnsi="方正小标宋_GBK" w:eastAsia="方正小标宋_GBK" w:cs="方正小标宋_GBK"/>
          <w:b/>
          <w:sz w:val="40"/>
          <w:szCs w:val="40"/>
          <w:lang w:val="en-US" w:eastAsia="zh-CN"/>
        </w:rPr>
        <w:t>中山大学附属第一医院广西医院</w:t>
      </w:r>
    </w:p>
    <w:p>
      <w:pPr>
        <w:spacing w:beforeLines="50" w:afterLines="100" w:line="500" w:lineRule="exact"/>
        <w:jc w:val="center"/>
        <w:rPr>
          <w:rFonts w:hint="eastAsia" w:ascii="方正小标宋_GBK" w:hAnsi="方正小标宋_GBK" w:eastAsia="方正小标宋_GBK" w:cs="方正小标宋_GBK"/>
          <w:b/>
          <w:sz w:val="40"/>
          <w:szCs w:val="40"/>
          <w:lang w:val="en-US" w:eastAsia="zh-CN"/>
        </w:rPr>
      </w:pPr>
      <w:r>
        <w:rPr>
          <w:rFonts w:hint="eastAsia" w:ascii="方正小标宋_GBK" w:hAnsi="方正小标宋_GBK" w:eastAsia="方正小标宋_GBK" w:cs="方正小标宋_GBK"/>
          <w:b/>
          <w:sz w:val="40"/>
          <w:szCs w:val="40"/>
        </w:rPr>
        <w:t>常年法律</w:t>
      </w:r>
      <w:r>
        <w:rPr>
          <w:rFonts w:hint="eastAsia" w:ascii="方正小标宋_GBK" w:hAnsi="方正小标宋_GBK" w:eastAsia="方正小标宋_GBK" w:cs="方正小标宋_GBK"/>
          <w:b/>
          <w:sz w:val="40"/>
          <w:szCs w:val="40"/>
          <w:lang w:val="en-US" w:eastAsia="zh-CN"/>
        </w:rPr>
        <w:t>顾问服务及各类诉讼代理服务</w:t>
      </w:r>
    </w:p>
    <w:p>
      <w:pPr>
        <w:spacing w:beforeLines="50" w:afterLines="100" w:line="500" w:lineRule="exact"/>
        <w:jc w:val="center"/>
        <w:rPr>
          <w:rFonts w:hint="default" w:ascii="方正小标宋_GBK" w:hAnsi="方正小标宋_GBK" w:eastAsia="方正小标宋_GBK" w:cs="方正小标宋_GBK"/>
          <w:b/>
          <w:sz w:val="40"/>
          <w:szCs w:val="40"/>
          <w:lang w:val="en-US" w:eastAsia="zh-CN"/>
        </w:rPr>
      </w:pPr>
      <w:r>
        <w:rPr>
          <w:rFonts w:hint="eastAsia" w:ascii="方正小标宋_GBK" w:hAnsi="方正小标宋_GBK" w:eastAsia="方正小标宋_GBK" w:cs="方正小标宋_GBK"/>
          <w:b/>
          <w:sz w:val="40"/>
          <w:szCs w:val="40"/>
          <w:lang w:val="en-US" w:eastAsia="zh-CN"/>
        </w:rPr>
        <w:t>评审办法</w:t>
      </w:r>
    </w:p>
    <w:p>
      <w:pPr>
        <w:spacing w:beforeLines="50" w:afterLines="100" w:line="500" w:lineRule="exact"/>
        <w:jc w:val="left"/>
        <w:rPr>
          <w:rFonts w:hint="default" w:eastAsia="仿宋"/>
          <w:b/>
          <w:sz w:val="24"/>
          <w:lang w:val="en-US" w:eastAsia="zh-CN"/>
        </w:rPr>
      </w:pPr>
      <w:r>
        <w:rPr>
          <w:rFonts w:hint="eastAsia" w:ascii="仿宋" w:hAnsi="仿宋" w:eastAsia="仿宋" w:cs="仿宋"/>
          <w:b/>
          <w:bCs/>
          <w:sz w:val="24"/>
        </w:rPr>
        <w:t>注：</w:t>
      </w:r>
      <w:r>
        <w:rPr>
          <w:rFonts w:hint="eastAsia" w:ascii="仿宋" w:hAnsi="仿宋" w:eastAsia="仿宋" w:cs="仿宋"/>
          <w:b/>
          <w:bCs/>
          <w:sz w:val="24"/>
          <w:lang w:val="en-US" w:eastAsia="zh-CN"/>
        </w:rPr>
        <w:t>1.</w:t>
      </w:r>
      <w:r>
        <w:rPr>
          <w:rFonts w:hint="eastAsia" w:ascii="仿宋" w:hAnsi="仿宋" w:eastAsia="仿宋" w:cs="仿宋"/>
          <w:b/>
          <w:bCs/>
          <w:sz w:val="24"/>
        </w:rPr>
        <w:t>本评分办法中的近三年指2020年1月1日至今，所有业绩以合同签订时间为准。</w:t>
      </w:r>
    </w:p>
    <w:tbl>
      <w:tblPr>
        <w:tblStyle w:val="11"/>
        <w:tblW w:w="5541"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69"/>
        <w:gridCol w:w="1316"/>
        <w:gridCol w:w="1860"/>
        <w:gridCol w:w="550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7" w:hRule="atLeast"/>
        </w:trPr>
        <w:tc>
          <w:tcPr>
            <w:tcW w:w="406" w:type="pct"/>
            <w:vAlign w:val="center"/>
          </w:tcPr>
          <w:p>
            <w:pPr>
              <w:tabs>
                <w:tab w:val="left" w:pos="0"/>
              </w:tabs>
              <w:spacing w:line="380" w:lineRule="exact"/>
              <w:jc w:val="center"/>
              <w:rPr>
                <w:rFonts w:ascii="仿宋" w:hAnsi="仿宋" w:eastAsia="仿宋" w:cs="仿宋"/>
                <w:bCs/>
                <w:color w:val="000000" w:themeColor="text1"/>
                <w:kern w:val="0"/>
                <w:szCs w:val="21"/>
              </w:rPr>
            </w:pPr>
            <w:r>
              <w:rPr>
                <w:rFonts w:hint="eastAsia" w:ascii="仿宋" w:hAnsi="仿宋" w:eastAsia="仿宋" w:cs="仿宋"/>
                <w:bCs/>
                <w:color w:val="000000" w:themeColor="text1"/>
                <w:kern w:val="0"/>
                <w:szCs w:val="21"/>
              </w:rPr>
              <w:t>序号</w:t>
            </w:r>
          </w:p>
        </w:tc>
        <w:tc>
          <w:tcPr>
            <w:tcW w:w="696" w:type="pct"/>
            <w:vAlign w:val="center"/>
          </w:tcPr>
          <w:p>
            <w:pPr>
              <w:tabs>
                <w:tab w:val="left" w:pos="0"/>
              </w:tabs>
              <w:spacing w:line="380" w:lineRule="exact"/>
              <w:jc w:val="center"/>
              <w:rPr>
                <w:rFonts w:ascii="仿宋" w:hAnsi="仿宋" w:eastAsia="仿宋" w:cs="仿宋"/>
                <w:bCs/>
                <w:color w:val="000000" w:themeColor="text1"/>
                <w:kern w:val="0"/>
                <w:szCs w:val="21"/>
              </w:rPr>
            </w:pPr>
            <w:r>
              <w:rPr>
                <w:rFonts w:hint="eastAsia" w:ascii="仿宋" w:hAnsi="仿宋" w:eastAsia="仿宋" w:cs="仿宋"/>
                <w:bCs/>
                <w:color w:val="000000" w:themeColor="text1"/>
                <w:kern w:val="0"/>
                <w:szCs w:val="21"/>
                <w:lang w:eastAsia="zh-CN"/>
              </w:rPr>
              <w:t>评分</w:t>
            </w:r>
            <w:r>
              <w:rPr>
                <w:rFonts w:hint="eastAsia" w:ascii="仿宋" w:hAnsi="仿宋" w:eastAsia="仿宋" w:cs="仿宋"/>
                <w:bCs/>
                <w:color w:val="000000" w:themeColor="text1"/>
                <w:kern w:val="0"/>
                <w:szCs w:val="21"/>
              </w:rPr>
              <w:t>内容</w:t>
            </w:r>
          </w:p>
        </w:tc>
        <w:tc>
          <w:tcPr>
            <w:tcW w:w="984" w:type="pct"/>
            <w:vAlign w:val="center"/>
          </w:tcPr>
          <w:p>
            <w:pPr>
              <w:tabs>
                <w:tab w:val="left" w:pos="0"/>
              </w:tabs>
              <w:spacing w:line="380" w:lineRule="exact"/>
              <w:jc w:val="center"/>
              <w:rPr>
                <w:rFonts w:ascii="仿宋" w:hAnsi="仿宋" w:eastAsia="仿宋" w:cs="仿宋"/>
                <w:bCs/>
                <w:color w:val="000000" w:themeColor="text1"/>
                <w:kern w:val="0"/>
                <w:szCs w:val="21"/>
              </w:rPr>
            </w:pPr>
            <w:r>
              <w:rPr>
                <w:rFonts w:hint="eastAsia" w:ascii="仿宋" w:hAnsi="仿宋" w:eastAsia="仿宋" w:cs="仿宋"/>
                <w:bCs/>
                <w:color w:val="000000" w:themeColor="text1"/>
                <w:kern w:val="0"/>
                <w:szCs w:val="21"/>
                <w:lang w:eastAsia="zh-CN"/>
              </w:rPr>
              <w:t>评分</w:t>
            </w:r>
            <w:r>
              <w:rPr>
                <w:rFonts w:hint="eastAsia" w:ascii="仿宋" w:hAnsi="仿宋" w:eastAsia="仿宋" w:cs="仿宋"/>
                <w:bCs/>
                <w:color w:val="000000" w:themeColor="text1"/>
                <w:kern w:val="0"/>
                <w:szCs w:val="21"/>
              </w:rPr>
              <w:t>分值（满分）</w:t>
            </w:r>
          </w:p>
        </w:tc>
        <w:tc>
          <w:tcPr>
            <w:tcW w:w="2912" w:type="pct"/>
            <w:vAlign w:val="center"/>
          </w:tcPr>
          <w:p>
            <w:pPr>
              <w:tabs>
                <w:tab w:val="left" w:pos="0"/>
              </w:tabs>
              <w:spacing w:line="380" w:lineRule="exact"/>
              <w:jc w:val="center"/>
              <w:rPr>
                <w:rFonts w:ascii="仿宋" w:hAnsi="仿宋" w:eastAsia="仿宋" w:cs="仿宋"/>
                <w:bCs/>
                <w:color w:val="000000" w:themeColor="text1"/>
                <w:kern w:val="0"/>
                <w:szCs w:val="21"/>
              </w:rPr>
            </w:pPr>
            <w:r>
              <w:rPr>
                <w:rFonts w:hint="eastAsia" w:ascii="仿宋" w:hAnsi="仿宋" w:eastAsia="仿宋" w:cs="仿宋"/>
                <w:bCs/>
                <w:color w:val="000000" w:themeColor="text1"/>
                <w:kern w:val="0"/>
                <w:szCs w:val="21"/>
              </w:rPr>
              <w:t>评分标准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06" w:type="pct"/>
            <w:vAlign w:val="center"/>
          </w:tcPr>
          <w:p>
            <w:pPr>
              <w:tabs>
                <w:tab w:val="left" w:pos="0"/>
              </w:tabs>
              <w:spacing w:line="380" w:lineRule="exact"/>
              <w:jc w:val="center"/>
              <w:rPr>
                <w:rFonts w:ascii="仿宋" w:hAnsi="仿宋" w:eastAsia="仿宋" w:cs="仿宋"/>
                <w:bCs/>
                <w:color w:val="000000" w:themeColor="text1"/>
                <w:kern w:val="0"/>
                <w:szCs w:val="21"/>
              </w:rPr>
            </w:pPr>
            <w:r>
              <w:rPr>
                <w:rFonts w:hint="eastAsia" w:ascii="仿宋" w:hAnsi="仿宋" w:eastAsia="仿宋" w:cs="仿宋"/>
                <w:bCs/>
                <w:color w:val="000000" w:themeColor="text1"/>
                <w:kern w:val="0"/>
                <w:szCs w:val="21"/>
              </w:rPr>
              <w:t>1</w:t>
            </w:r>
          </w:p>
        </w:tc>
        <w:tc>
          <w:tcPr>
            <w:tcW w:w="696" w:type="pct"/>
            <w:vAlign w:val="center"/>
          </w:tcPr>
          <w:p>
            <w:pPr>
              <w:tabs>
                <w:tab w:val="left" w:pos="0"/>
              </w:tabs>
              <w:spacing w:line="380" w:lineRule="exact"/>
              <w:jc w:val="center"/>
              <w:rPr>
                <w:rFonts w:ascii="仿宋" w:hAnsi="仿宋" w:eastAsia="仿宋" w:cs="仿宋"/>
                <w:bCs/>
                <w:color w:val="000000" w:themeColor="text1"/>
                <w:kern w:val="0"/>
                <w:szCs w:val="21"/>
              </w:rPr>
            </w:pPr>
            <w:r>
              <w:rPr>
                <w:rFonts w:hint="eastAsia" w:ascii="仿宋" w:hAnsi="仿宋" w:eastAsia="仿宋" w:cs="仿宋"/>
                <w:bCs/>
                <w:color w:val="000000" w:themeColor="text1"/>
                <w:kern w:val="0"/>
                <w:szCs w:val="21"/>
              </w:rPr>
              <w:t>价格分</w:t>
            </w:r>
          </w:p>
        </w:tc>
        <w:tc>
          <w:tcPr>
            <w:tcW w:w="984" w:type="pct"/>
            <w:vAlign w:val="center"/>
          </w:tcPr>
          <w:p>
            <w:pPr>
              <w:tabs>
                <w:tab w:val="left" w:pos="0"/>
              </w:tabs>
              <w:spacing w:line="380" w:lineRule="exact"/>
              <w:jc w:val="center"/>
              <w:rPr>
                <w:rFonts w:ascii="仿宋" w:hAnsi="仿宋" w:eastAsia="仿宋" w:cs="仿宋"/>
                <w:bCs/>
                <w:color w:val="000000" w:themeColor="text1"/>
                <w:kern w:val="0"/>
                <w:szCs w:val="21"/>
              </w:rPr>
            </w:pPr>
            <w:r>
              <w:rPr>
                <w:rFonts w:hint="eastAsia" w:ascii="仿宋" w:hAnsi="仿宋" w:eastAsia="仿宋" w:cs="仿宋"/>
                <w:bCs/>
                <w:color w:val="000000" w:themeColor="text1"/>
                <w:kern w:val="0"/>
                <w:szCs w:val="21"/>
              </w:rPr>
              <w:t>20分</w:t>
            </w:r>
          </w:p>
        </w:tc>
        <w:tc>
          <w:tcPr>
            <w:tcW w:w="2912" w:type="pct"/>
          </w:tcPr>
          <w:p>
            <w:pPr>
              <w:widowControl/>
              <w:spacing w:line="380" w:lineRule="exact"/>
              <w:jc w:val="left"/>
              <w:rPr>
                <w:rFonts w:ascii="仿宋" w:hAnsi="仿宋" w:eastAsia="仿宋" w:cs="仿宋"/>
                <w:bCs/>
                <w:color w:val="000000" w:themeColor="text1"/>
                <w:kern w:val="0"/>
                <w:szCs w:val="21"/>
              </w:rPr>
            </w:pPr>
            <w:r>
              <w:rPr>
                <w:rFonts w:hint="eastAsia" w:ascii="仿宋" w:hAnsi="仿宋" w:eastAsia="仿宋" w:cs="仿宋"/>
                <w:bCs/>
                <w:color w:val="000000" w:themeColor="text1"/>
                <w:kern w:val="0"/>
                <w:szCs w:val="21"/>
              </w:rPr>
              <w:t>1.常年法律顾问服务收费按固定报价；</w:t>
            </w:r>
          </w:p>
          <w:p>
            <w:pPr>
              <w:widowControl/>
              <w:spacing w:line="380" w:lineRule="exact"/>
              <w:jc w:val="left"/>
              <w:rPr>
                <w:rFonts w:ascii="仿宋" w:hAnsi="仿宋" w:eastAsia="仿宋" w:cs="仿宋"/>
                <w:bCs/>
                <w:color w:val="000000" w:themeColor="text1"/>
                <w:kern w:val="0"/>
                <w:szCs w:val="21"/>
              </w:rPr>
            </w:pPr>
            <w:r>
              <w:rPr>
                <w:rFonts w:hint="eastAsia" w:ascii="仿宋" w:hAnsi="仿宋" w:eastAsia="仿宋" w:cs="仿宋"/>
                <w:bCs/>
                <w:color w:val="000000" w:themeColor="text1"/>
                <w:kern w:val="0"/>
                <w:szCs w:val="21"/>
              </w:rPr>
              <w:t>2.各类诉讼代理服务按下浮率报价；</w:t>
            </w:r>
          </w:p>
          <w:p>
            <w:pPr>
              <w:widowControl/>
              <w:spacing w:line="380" w:lineRule="exact"/>
              <w:jc w:val="left"/>
              <w:rPr>
                <w:rFonts w:hint="eastAsia" w:ascii="仿宋" w:hAnsi="仿宋" w:eastAsia="仿宋" w:cs="仿宋"/>
                <w:bCs/>
                <w:color w:val="000000" w:themeColor="text1"/>
                <w:kern w:val="0"/>
                <w:szCs w:val="21"/>
                <w:lang w:eastAsia="zh-CN"/>
              </w:rPr>
            </w:pPr>
            <w:r>
              <w:rPr>
                <w:rFonts w:hint="eastAsia" w:ascii="仿宋" w:hAnsi="仿宋" w:eastAsia="仿宋" w:cs="仿宋"/>
                <w:bCs/>
                <w:color w:val="000000" w:themeColor="text1"/>
                <w:kern w:val="0"/>
                <w:szCs w:val="21"/>
              </w:rPr>
              <w:t>3.某报价公司价格分=（1-最高下浮率）/（1-某公司投标下浮率）×（20*70%）+（最低常年法律顾问服务报价/某公司常年法律顾问服务报价）*（20*30%）</w:t>
            </w:r>
            <w:r>
              <w:rPr>
                <w:rFonts w:hint="eastAsia" w:ascii="仿宋" w:hAnsi="仿宋" w:eastAsia="仿宋" w:cs="仿宋"/>
                <w:bCs/>
                <w:color w:val="000000" w:themeColor="text1"/>
                <w:kern w:val="0"/>
                <w:szCs w:val="21"/>
                <w:lang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45" w:hRule="atLeast"/>
        </w:trPr>
        <w:tc>
          <w:tcPr>
            <w:tcW w:w="406" w:type="pct"/>
            <w:vMerge w:val="restart"/>
            <w:vAlign w:val="center"/>
          </w:tcPr>
          <w:p>
            <w:pPr>
              <w:tabs>
                <w:tab w:val="left" w:pos="0"/>
              </w:tabs>
              <w:spacing w:line="380" w:lineRule="exact"/>
              <w:jc w:val="center"/>
              <w:rPr>
                <w:rFonts w:ascii="仿宋" w:hAnsi="仿宋" w:eastAsia="仿宋" w:cs="仿宋"/>
                <w:bCs/>
                <w:color w:val="000000" w:themeColor="text1"/>
                <w:kern w:val="0"/>
                <w:szCs w:val="21"/>
              </w:rPr>
            </w:pPr>
            <w:r>
              <w:rPr>
                <w:rFonts w:hint="eastAsia" w:ascii="仿宋" w:hAnsi="仿宋" w:eastAsia="仿宋" w:cs="仿宋"/>
                <w:bCs/>
                <w:color w:val="000000" w:themeColor="text1"/>
                <w:kern w:val="0"/>
                <w:szCs w:val="21"/>
              </w:rPr>
              <w:t>2</w:t>
            </w:r>
          </w:p>
        </w:tc>
        <w:tc>
          <w:tcPr>
            <w:tcW w:w="696" w:type="pct"/>
            <w:vMerge w:val="restart"/>
            <w:vAlign w:val="center"/>
          </w:tcPr>
          <w:p>
            <w:pPr>
              <w:tabs>
                <w:tab w:val="left" w:pos="0"/>
              </w:tabs>
              <w:spacing w:line="380" w:lineRule="exact"/>
              <w:jc w:val="center"/>
              <w:rPr>
                <w:rFonts w:ascii="仿宋" w:hAnsi="仿宋" w:eastAsia="仿宋" w:cs="仿宋"/>
                <w:bCs/>
                <w:color w:val="000000" w:themeColor="text1"/>
                <w:kern w:val="0"/>
                <w:szCs w:val="21"/>
              </w:rPr>
            </w:pPr>
            <w:r>
              <w:rPr>
                <w:rFonts w:hint="eastAsia" w:ascii="仿宋" w:hAnsi="仿宋" w:eastAsia="仿宋" w:cs="仿宋"/>
                <w:bCs/>
                <w:color w:val="000000" w:themeColor="text1"/>
                <w:kern w:val="0"/>
                <w:szCs w:val="21"/>
              </w:rPr>
              <w:t>律所基本</w:t>
            </w:r>
          </w:p>
          <w:p>
            <w:pPr>
              <w:tabs>
                <w:tab w:val="left" w:pos="0"/>
              </w:tabs>
              <w:spacing w:line="380" w:lineRule="exact"/>
              <w:jc w:val="center"/>
              <w:rPr>
                <w:rFonts w:ascii="仿宋" w:hAnsi="仿宋" w:eastAsia="仿宋" w:cs="仿宋"/>
                <w:bCs/>
                <w:color w:val="000000" w:themeColor="text1"/>
                <w:kern w:val="0"/>
                <w:szCs w:val="21"/>
              </w:rPr>
            </w:pPr>
            <w:r>
              <w:rPr>
                <w:rFonts w:hint="eastAsia" w:ascii="仿宋" w:hAnsi="仿宋" w:eastAsia="仿宋" w:cs="仿宋"/>
                <w:bCs/>
                <w:color w:val="000000" w:themeColor="text1"/>
                <w:kern w:val="0"/>
                <w:szCs w:val="21"/>
              </w:rPr>
              <w:t>情况</w:t>
            </w:r>
          </w:p>
        </w:tc>
        <w:tc>
          <w:tcPr>
            <w:tcW w:w="984" w:type="pct"/>
            <w:vMerge w:val="restart"/>
            <w:vAlign w:val="center"/>
          </w:tcPr>
          <w:p>
            <w:pPr>
              <w:tabs>
                <w:tab w:val="left" w:pos="0"/>
              </w:tabs>
              <w:spacing w:line="380" w:lineRule="exact"/>
              <w:jc w:val="center"/>
              <w:rPr>
                <w:rFonts w:ascii="仿宋" w:hAnsi="仿宋" w:eastAsia="仿宋" w:cs="仿宋"/>
                <w:bCs/>
                <w:color w:val="000000" w:themeColor="text1"/>
                <w:kern w:val="0"/>
                <w:szCs w:val="21"/>
              </w:rPr>
            </w:pPr>
            <w:r>
              <w:rPr>
                <w:rFonts w:hint="eastAsia" w:ascii="仿宋" w:hAnsi="仿宋" w:eastAsia="仿宋" w:cs="仿宋"/>
                <w:bCs/>
                <w:color w:val="000000" w:themeColor="text1"/>
                <w:kern w:val="0"/>
                <w:szCs w:val="21"/>
              </w:rPr>
              <w:t>6分</w:t>
            </w:r>
          </w:p>
        </w:tc>
        <w:tc>
          <w:tcPr>
            <w:tcW w:w="2912" w:type="pct"/>
            <w:vMerge w:val="restart"/>
          </w:tcPr>
          <w:p>
            <w:pPr>
              <w:tabs>
                <w:tab w:val="left" w:pos="0"/>
              </w:tabs>
              <w:spacing w:line="380" w:lineRule="exact"/>
              <w:rPr>
                <w:rFonts w:ascii="仿宋" w:hAnsi="仿宋" w:eastAsia="仿宋" w:cs="仿宋"/>
                <w:bCs/>
                <w:color w:val="000000" w:themeColor="text1"/>
                <w:kern w:val="0"/>
                <w:szCs w:val="21"/>
              </w:rPr>
            </w:pPr>
            <w:r>
              <w:rPr>
                <w:rFonts w:hint="eastAsia" w:ascii="仿宋" w:hAnsi="仿宋" w:eastAsia="仿宋" w:cs="仿宋"/>
                <w:bCs/>
                <w:color w:val="000000" w:themeColor="text1"/>
                <w:kern w:val="0"/>
                <w:szCs w:val="21"/>
              </w:rPr>
              <w:t>1.成立时间：</w:t>
            </w:r>
          </w:p>
          <w:p>
            <w:pPr>
              <w:tabs>
                <w:tab w:val="left" w:pos="0"/>
              </w:tabs>
              <w:spacing w:line="380" w:lineRule="exact"/>
              <w:rPr>
                <w:rFonts w:ascii="仿宋" w:hAnsi="仿宋" w:eastAsia="仿宋" w:cs="仿宋"/>
                <w:bCs/>
                <w:color w:val="000000" w:themeColor="text1"/>
                <w:szCs w:val="21"/>
              </w:rPr>
            </w:pPr>
            <w:r>
              <w:rPr>
                <w:rFonts w:hint="eastAsia" w:ascii="仿宋" w:hAnsi="仿宋" w:eastAsia="仿宋" w:cs="仿宋"/>
                <w:bCs/>
                <w:color w:val="000000" w:themeColor="text1"/>
                <w:szCs w:val="21"/>
              </w:rPr>
              <w:t>①成立≥10年得2分；</w:t>
            </w:r>
          </w:p>
          <w:p>
            <w:pPr>
              <w:tabs>
                <w:tab w:val="left" w:pos="0"/>
              </w:tabs>
              <w:spacing w:line="380" w:lineRule="exact"/>
              <w:rPr>
                <w:rFonts w:ascii="仿宋" w:hAnsi="仿宋" w:eastAsia="仿宋" w:cs="仿宋"/>
                <w:bCs/>
                <w:color w:val="000000" w:themeColor="text1"/>
                <w:szCs w:val="21"/>
              </w:rPr>
            </w:pPr>
            <w:r>
              <w:rPr>
                <w:rFonts w:hint="eastAsia" w:ascii="仿宋" w:hAnsi="仿宋" w:eastAsia="仿宋" w:cs="仿宋"/>
                <w:bCs/>
                <w:color w:val="000000" w:themeColor="text1"/>
                <w:szCs w:val="21"/>
              </w:rPr>
              <w:t>②成立＜10年得1分；</w:t>
            </w:r>
          </w:p>
          <w:p>
            <w:pPr>
              <w:tabs>
                <w:tab w:val="left" w:pos="0"/>
              </w:tabs>
              <w:spacing w:line="380" w:lineRule="exact"/>
              <w:rPr>
                <w:rFonts w:ascii="仿宋" w:hAnsi="仿宋" w:eastAsia="仿宋" w:cs="仿宋"/>
                <w:bCs/>
                <w:color w:val="000000" w:themeColor="text1"/>
                <w:kern w:val="0"/>
                <w:szCs w:val="21"/>
              </w:rPr>
            </w:pPr>
            <w:r>
              <w:rPr>
                <w:rFonts w:hint="eastAsia" w:ascii="仿宋" w:hAnsi="仿宋" w:eastAsia="仿宋" w:cs="仿宋"/>
                <w:bCs/>
                <w:color w:val="000000" w:themeColor="text1"/>
                <w:szCs w:val="21"/>
              </w:rPr>
              <w:t>2.</w:t>
            </w:r>
            <w:r>
              <w:rPr>
                <w:rFonts w:hint="eastAsia" w:ascii="仿宋" w:hAnsi="仿宋" w:eastAsia="仿宋" w:cs="仿宋"/>
                <w:bCs/>
                <w:color w:val="000000" w:themeColor="text1"/>
                <w:kern w:val="0"/>
                <w:szCs w:val="21"/>
              </w:rPr>
              <w:t>执业律师数量（应提供在律协备案的人数及名单，否则不得分，实习律师不记在内）；</w:t>
            </w:r>
          </w:p>
          <w:p>
            <w:pPr>
              <w:tabs>
                <w:tab w:val="left" w:pos="0"/>
              </w:tabs>
              <w:spacing w:line="380" w:lineRule="exact"/>
              <w:rPr>
                <w:rFonts w:ascii="仿宋" w:hAnsi="仿宋" w:eastAsia="仿宋" w:cs="仿宋"/>
                <w:bCs/>
                <w:color w:val="000000" w:themeColor="text1"/>
                <w:kern w:val="0"/>
                <w:szCs w:val="21"/>
              </w:rPr>
            </w:pPr>
            <w:r>
              <w:rPr>
                <w:rFonts w:hint="eastAsia" w:ascii="仿宋" w:hAnsi="仿宋" w:eastAsia="仿宋" w:cs="仿宋"/>
                <w:bCs/>
                <w:color w:val="000000" w:themeColor="text1"/>
                <w:kern w:val="0"/>
                <w:szCs w:val="21"/>
              </w:rPr>
              <w:t>①＞10人得2分；</w:t>
            </w:r>
          </w:p>
          <w:p>
            <w:pPr>
              <w:tabs>
                <w:tab w:val="left" w:pos="0"/>
              </w:tabs>
              <w:spacing w:line="380" w:lineRule="exact"/>
              <w:rPr>
                <w:rFonts w:ascii="仿宋" w:hAnsi="仿宋" w:eastAsia="仿宋" w:cs="仿宋"/>
                <w:bCs/>
                <w:color w:val="000000" w:themeColor="text1"/>
                <w:szCs w:val="21"/>
              </w:rPr>
            </w:pPr>
            <w:r>
              <w:rPr>
                <w:rFonts w:hint="eastAsia" w:ascii="仿宋" w:hAnsi="仿宋" w:eastAsia="仿宋" w:cs="仿宋"/>
                <w:bCs/>
                <w:color w:val="000000" w:themeColor="text1"/>
                <w:kern w:val="0"/>
                <w:szCs w:val="21"/>
              </w:rPr>
              <w:t>②≤10人得1分；</w:t>
            </w:r>
          </w:p>
          <w:p>
            <w:pPr>
              <w:tabs>
                <w:tab w:val="left" w:pos="0"/>
              </w:tabs>
              <w:spacing w:line="380" w:lineRule="exact"/>
              <w:rPr>
                <w:rFonts w:ascii="仿宋" w:hAnsi="仿宋" w:eastAsia="仿宋" w:cs="仿宋"/>
                <w:bCs/>
                <w:color w:val="000000" w:themeColor="text1"/>
                <w:kern w:val="0"/>
                <w:szCs w:val="21"/>
              </w:rPr>
            </w:pPr>
            <w:r>
              <w:rPr>
                <w:rFonts w:hint="eastAsia" w:ascii="仿宋" w:hAnsi="仿宋" w:eastAsia="仿宋" w:cs="仿宋"/>
                <w:bCs/>
                <w:color w:val="000000" w:themeColor="text1"/>
                <w:kern w:val="0"/>
                <w:szCs w:val="21"/>
              </w:rPr>
              <w:t>3.有良好的社会信誉及诚信记录，与询价方无利害关系</w:t>
            </w:r>
            <w:r>
              <w:rPr>
                <w:rFonts w:hint="eastAsia" w:ascii="仿宋" w:hAnsi="仿宋" w:eastAsia="仿宋" w:cs="仿宋"/>
                <w:bCs/>
                <w:color w:val="000000" w:themeColor="text1"/>
                <w:szCs w:val="21"/>
              </w:rPr>
              <w:t>，提供</w:t>
            </w:r>
            <w:r>
              <w:rPr>
                <w:rFonts w:hint="eastAsia" w:ascii="仿宋" w:hAnsi="仿宋" w:eastAsia="仿宋" w:cs="仿宋"/>
                <w:bCs/>
                <w:color w:val="000000" w:themeColor="text1"/>
                <w:kern w:val="0"/>
                <w:szCs w:val="21"/>
              </w:rPr>
              <w:t>社会信誉及诚信记录证明</w:t>
            </w:r>
            <w:r>
              <w:rPr>
                <w:rFonts w:hint="eastAsia" w:ascii="仿宋" w:hAnsi="仿宋" w:eastAsia="仿宋" w:cs="仿宋"/>
                <w:bCs/>
                <w:color w:val="000000" w:themeColor="text1"/>
                <w:szCs w:val="21"/>
              </w:rPr>
              <w:t>文件，未提供的不得分，此项满分2分；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45" w:hRule="atLeast"/>
        </w:trPr>
        <w:tc>
          <w:tcPr>
            <w:tcW w:w="406" w:type="pct"/>
            <w:vMerge w:val="continue"/>
            <w:vAlign w:val="center"/>
          </w:tcPr>
          <w:p>
            <w:pPr>
              <w:tabs>
                <w:tab w:val="left" w:pos="0"/>
              </w:tabs>
              <w:spacing w:line="380" w:lineRule="exact"/>
              <w:jc w:val="center"/>
              <w:rPr>
                <w:rFonts w:hint="eastAsia" w:ascii="仿宋" w:hAnsi="仿宋" w:eastAsia="仿宋" w:cs="仿宋"/>
                <w:bCs/>
                <w:color w:val="000000" w:themeColor="text1"/>
                <w:kern w:val="0"/>
                <w:szCs w:val="21"/>
              </w:rPr>
            </w:pPr>
          </w:p>
        </w:tc>
        <w:tc>
          <w:tcPr>
            <w:tcW w:w="696" w:type="pct"/>
            <w:vMerge w:val="continue"/>
            <w:vAlign w:val="center"/>
          </w:tcPr>
          <w:p>
            <w:pPr>
              <w:tabs>
                <w:tab w:val="left" w:pos="0"/>
              </w:tabs>
              <w:spacing w:line="380" w:lineRule="exact"/>
              <w:jc w:val="center"/>
              <w:rPr>
                <w:rFonts w:hint="eastAsia" w:ascii="仿宋" w:hAnsi="仿宋" w:eastAsia="仿宋" w:cs="仿宋"/>
                <w:bCs/>
                <w:color w:val="000000" w:themeColor="text1"/>
                <w:kern w:val="0"/>
                <w:szCs w:val="21"/>
              </w:rPr>
            </w:pPr>
          </w:p>
        </w:tc>
        <w:tc>
          <w:tcPr>
            <w:tcW w:w="984" w:type="pct"/>
            <w:vMerge w:val="continue"/>
            <w:vAlign w:val="center"/>
          </w:tcPr>
          <w:p>
            <w:pPr>
              <w:tabs>
                <w:tab w:val="left" w:pos="0"/>
              </w:tabs>
              <w:spacing w:line="380" w:lineRule="exact"/>
              <w:jc w:val="center"/>
              <w:rPr>
                <w:rFonts w:hint="eastAsia" w:ascii="仿宋" w:hAnsi="仿宋" w:eastAsia="仿宋" w:cs="仿宋"/>
                <w:bCs/>
                <w:color w:val="000000" w:themeColor="text1"/>
                <w:kern w:val="0"/>
                <w:szCs w:val="21"/>
              </w:rPr>
            </w:pPr>
          </w:p>
        </w:tc>
        <w:tc>
          <w:tcPr>
            <w:tcW w:w="2912" w:type="pct"/>
            <w:vMerge w:val="continue"/>
          </w:tcPr>
          <w:p>
            <w:pPr>
              <w:tabs>
                <w:tab w:val="left" w:pos="0"/>
              </w:tabs>
              <w:spacing w:line="380" w:lineRule="exact"/>
              <w:rPr>
                <w:rFonts w:hint="eastAsia" w:ascii="仿宋" w:hAnsi="仿宋" w:eastAsia="仿宋" w:cs="仿宋"/>
                <w:bCs/>
                <w:color w:val="000000" w:themeColor="text1"/>
                <w:kern w:val="0"/>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5" w:hRule="atLeast"/>
        </w:trPr>
        <w:tc>
          <w:tcPr>
            <w:tcW w:w="406" w:type="pct"/>
            <w:vMerge w:val="continue"/>
            <w:vAlign w:val="center"/>
          </w:tcPr>
          <w:p>
            <w:pPr>
              <w:tabs>
                <w:tab w:val="left" w:pos="0"/>
              </w:tabs>
              <w:spacing w:line="380" w:lineRule="exact"/>
              <w:jc w:val="center"/>
              <w:rPr>
                <w:rFonts w:hint="eastAsia" w:ascii="仿宋" w:hAnsi="仿宋" w:eastAsia="仿宋" w:cs="仿宋"/>
                <w:bCs/>
                <w:color w:val="000000" w:themeColor="text1"/>
                <w:kern w:val="0"/>
                <w:szCs w:val="21"/>
              </w:rPr>
            </w:pPr>
          </w:p>
        </w:tc>
        <w:tc>
          <w:tcPr>
            <w:tcW w:w="696" w:type="pct"/>
            <w:vMerge w:val="continue"/>
            <w:vAlign w:val="center"/>
          </w:tcPr>
          <w:p>
            <w:pPr>
              <w:tabs>
                <w:tab w:val="left" w:pos="0"/>
              </w:tabs>
              <w:spacing w:line="380" w:lineRule="exact"/>
              <w:jc w:val="center"/>
              <w:rPr>
                <w:rFonts w:hint="eastAsia" w:ascii="仿宋" w:hAnsi="仿宋" w:eastAsia="仿宋" w:cs="仿宋"/>
                <w:bCs/>
                <w:color w:val="000000" w:themeColor="text1"/>
                <w:kern w:val="0"/>
                <w:szCs w:val="21"/>
              </w:rPr>
            </w:pPr>
          </w:p>
        </w:tc>
        <w:tc>
          <w:tcPr>
            <w:tcW w:w="984" w:type="pct"/>
            <w:vMerge w:val="continue"/>
            <w:vAlign w:val="center"/>
          </w:tcPr>
          <w:p>
            <w:pPr>
              <w:tabs>
                <w:tab w:val="left" w:pos="0"/>
              </w:tabs>
              <w:spacing w:line="380" w:lineRule="exact"/>
              <w:jc w:val="center"/>
              <w:rPr>
                <w:rFonts w:hint="eastAsia" w:ascii="仿宋" w:hAnsi="仿宋" w:eastAsia="仿宋" w:cs="仿宋"/>
                <w:bCs/>
                <w:color w:val="000000" w:themeColor="text1"/>
                <w:kern w:val="0"/>
                <w:szCs w:val="21"/>
              </w:rPr>
            </w:pPr>
          </w:p>
        </w:tc>
        <w:tc>
          <w:tcPr>
            <w:tcW w:w="2912" w:type="pct"/>
            <w:vMerge w:val="continue"/>
          </w:tcPr>
          <w:p>
            <w:pPr>
              <w:tabs>
                <w:tab w:val="left" w:pos="0"/>
              </w:tabs>
              <w:spacing w:line="380" w:lineRule="exact"/>
              <w:rPr>
                <w:rFonts w:hint="eastAsia" w:ascii="仿宋" w:hAnsi="仿宋" w:eastAsia="仿宋" w:cs="仿宋"/>
                <w:bCs/>
                <w:color w:val="000000" w:themeColor="text1"/>
                <w:kern w:val="0"/>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68" w:hRule="atLeast"/>
        </w:trPr>
        <w:tc>
          <w:tcPr>
            <w:tcW w:w="406" w:type="pct"/>
            <w:vMerge w:val="restart"/>
            <w:vAlign w:val="center"/>
          </w:tcPr>
          <w:p>
            <w:pPr>
              <w:tabs>
                <w:tab w:val="left" w:pos="0"/>
              </w:tabs>
              <w:spacing w:line="380" w:lineRule="exact"/>
              <w:jc w:val="center"/>
              <w:rPr>
                <w:rFonts w:ascii="仿宋" w:hAnsi="仿宋" w:eastAsia="仿宋" w:cs="仿宋"/>
                <w:bCs/>
                <w:color w:val="000000" w:themeColor="text1"/>
                <w:kern w:val="0"/>
                <w:szCs w:val="21"/>
              </w:rPr>
            </w:pPr>
            <w:r>
              <w:rPr>
                <w:rFonts w:hint="eastAsia" w:ascii="仿宋" w:hAnsi="仿宋" w:eastAsia="仿宋" w:cs="仿宋"/>
                <w:bCs/>
                <w:color w:val="000000" w:themeColor="text1"/>
                <w:kern w:val="0"/>
                <w:szCs w:val="21"/>
              </w:rPr>
              <w:t>3</w:t>
            </w:r>
          </w:p>
        </w:tc>
        <w:tc>
          <w:tcPr>
            <w:tcW w:w="696" w:type="pct"/>
            <w:vMerge w:val="restart"/>
            <w:vAlign w:val="center"/>
          </w:tcPr>
          <w:p>
            <w:pPr>
              <w:tabs>
                <w:tab w:val="left" w:pos="0"/>
              </w:tabs>
              <w:spacing w:line="380" w:lineRule="exact"/>
              <w:jc w:val="center"/>
              <w:rPr>
                <w:rFonts w:ascii="仿宋" w:hAnsi="仿宋" w:eastAsia="仿宋" w:cs="仿宋"/>
                <w:bCs/>
                <w:color w:val="000000" w:themeColor="text1"/>
                <w:kern w:val="0"/>
                <w:szCs w:val="21"/>
              </w:rPr>
            </w:pPr>
            <w:r>
              <w:rPr>
                <w:rFonts w:hint="eastAsia" w:ascii="仿宋" w:hAnsi="仿宋" w:eastAsia="仿宋" w:cs="仿宋"/>
                <w:bCs/>
                <w:color w:val="000000" w:themeColor="text1"/>
                <w:kern w:val="0"/>
                <w:szCs w:val="21"/>
              </w:rPr>
              <w:t>律师服务团队</w:t>
            </w:r>
          </w:p>
        </w:tc>
        <w:tc>
          <w:tcPr>
            <w:tcW w:w="984" w:type="pct"/>
            <w:vMerge w:val="restart"/>
            <w:vAlign w:val="center"/>
          </w:tcPr>
          <w:p>
            <w:pPr>
              <w:tabs>
                <w:tab w:val="left" w:pos="0"/>
              </w:tabs>
              <w:spacing w:line="380" w:lineRule="exact"/>
              <w:jc w:val="center"/>
              <w:rPr>
                <w:rFonts w:ascii="仿宋" w:hAnsi="仿宋" w:eastAsia="仿宋" w:cs="仿宋"/>
                <w:bCs/>
                <w:color w:val="000000" w:themeColor="text1"/>
                <w:kern w:val="0"/>
                <w:szCs w:val="21"/>
              </w:rPr>
            </w:pPr>
            <w:r>
              <w:rPr>
                <w:rFonts w:hint="eastAsia" w:ascii="仿宋" w:hAnsi="仿宋" w:eastAsia="仿宋" w:cs="仿宋"/>
                <w:bCs/>
                <w:color w:val="000000" w:themeColor="text1"/>
                <w:kern w:val="0"/>
                <w:szCs w:val="21"/>
                <w:lang w:val="en-US" w:eastAsia="zh-CN"/>
              </w:rPr>
              <w:t>3</w:t>
            </w:r>
            <w:r>
              <w:rPr>
                <w:rFonts w:hint="eastAsia" w:ascii="仿宋" w:hAnsi="仿宋" w:eastAsia="仿宋" w:cs="仿宋"/>
                <w:bCs/>
                <w:color w:val="000000" w:themeColor="text1"/>
                <w:kern w:val="0"/>
                <w:szCs w:val="21"/>
              </w:rPr>
              <w:t>分</w:t>
            </w:r>
          </w:p>
        </w:tc>
        <w:tc>
          <w:tcPr>
            <w:tcW w:w="2912" w:type="pct"/>
            <w:vMerge w:val="restart"/>
            <w:vAlign w:val="center"/>
          </w:tcPr>
          <w:p>
            <w:pPr>
              <w:widowControl/>
              <w:spacing w:line="380" w:lineRule="exact"/>
              <w:jc w:val="left"/>
              <w:rPr>
                <w:rFonts w:ascii="仿宋" w:hAnsi="仿宋" w:eastAsia="仿宋" w:cs="仿宋"/>
                <w:bCs/>
                <w:color w:val="000000" w:themeColor="text1"/>
                <w:kern w:val="0"/>
                <w:szCs w:val="21"/>
              </w:rPr>
            </w:pPr>
            <w:r>
              <w:rPr>
                <w:rFonts w:hint="eastAsia" w:ascii="仿宋" w:hAnsi="仿宋" w:eastAsia="仿宋" w:cs="仿宋"/>
                <w:bCs/>
                <w:color w:val="000000" w:themeColor="text1"/>
                <w:kern w:val="0"/>
                <w:szCs w:val="21"/>
              </w:rPr>
              <w:t>1.服务团队≥3人；提供团队成员近半年来连续3个月的社保缴纳证明文件，未提供的不得分；（此项1分）</w:t>
            </w:r>
          </w:p>
          <w:p>
            <w:pPr>
              <w:widowControl/>
              <w:spacing w:line="380" w:lineRule="exact"/>
              <w:jc w:val="left"/>
              <w:rPr>
                <w:rFonts w:ascii="仿宋" w:hAnsi="仿宋" w:eastAsia="仿宋" w:cs="仿宋"/>
                <w:bCs/>
                <w:color w:val="000000" w:themeColor="text1"/>
                <w:kern w:val="0"/>
                <w:szCs w:val="21"/>
              </w:rPr>
            </w:pPr>
            <w:r>
              <w:rPr>
                <w:rFonts w:hint="eastAsia" w:ascii="仿宋" w:hAnsi="仿宋" w:eastAsia="仿宋" w:cs="仿宋"/>
                <w:bCs/>
                <w:color w:val="000000" w:themeColor="text1"/>
                <w:kern w:val="0"/>
                <w:szCs w:val="21"/>
              </w:rPr>
              <w:t>2.服务团队中有责任律师</w:t>
            </w:r>
            <w:r>
              <w:rPr>
                <w:rFonts w:hint="eastAsia" w:ascii="仿宋" w:hAnsi="仿宋" w:eastAsia="仿宋" w:cs="仿宋"/>
                <w:bCs/>
                <w:color w:val="000000" w:themeColor="text1"/>
                <w:kern w:val="0"/>
                <w:szCs w:val="21"/>
                <w:lang w:val="en-US" w:eastAsia="zh-CN"/>
              </w:rPr>
              <w:t>且</w:t>
            </w:r>
            <w:r>
              <w:rPr>
                <w:rFonts w:hint="eastAsia" w:ascii="仿宋" w:hAnsi="仿宋" w:eastAsia="仿宋" w:cs="仿宋"/>
                <w:bCs/>
                <w:color w:val="000000" w:themeColor="text1"/>
                <w:kern w:val="0"/>
                <w:szCs w:val="21"/>
              </w:rPr>
              <w:t>符合以下要求的：（此项满分2分，如同一人同时满足下述要求，可重复计分。）：</w:t>
            </w:r>
          </w:p>
          <w:p>
            <w:pPr>
              <w:widowControl/>
              <w:spacing w:line="380" w:lineRule="exact"/>
              <w:jc w:val="left"/>
              <w:rPr>
                <w:rFonts w:ascii="仿宋" w:hAnsi="仿宋" w:eastAsia="仿宋" w:cs="仿宋"/>
                <w:bCs/>
                <w:color w:val="000000" w:themeColor="text1"/>
                <w:kern w:val="0"/>
                <w:szCs w:val="21"/>
              </w:rPr>
            </w:pPr>
            <w:r>
              <w:rPr>
                <w:rFonts w:hint="eastAsia" w:ascii="仿宋" w:hAnsi="仿宋" w:eastAsia="仿宋" w:cs="仿宋"/>
                <w:bCs/>
                <w:color w:val="000000" w:themeColor="text1"/>
                <w:szCs w:val="21"/>
              </w:rPr>
              <w:t>①每有1人</w:t>
            </w:r>
            <w:r>
              <w:rPr>
                <w:rFonts w:hint="eastAsia" w:ascii="仿宋" w:hAnsi="仿宋" w:eastAsia="仿宋" w:cs="仿宋"/>
                <w:bCs/>
                <w:color w:val="000000" w:themeColor="text1"/>
                <w:kern w:val="0"/>
                <w:szCs w:val="21"/>
              </w:rPr>
              <w:t>为5年以上执业律师的，得1分；</w:t>
            </w:r>
          </w:p>
          <w:p>
            <w:pPr>
              <w:widowControl/>
              <w:spacing w:line="380" w:lineRule="exact"/>
              <w:jc w:val="left"/>
              <w:rPr>
                <w:rFonts w:ascii="仿宋" w:hAnsi="仿宋" w:eastAsia="仿宋" w:cs="仿宋"/>
                <w:bCs/>
                <w:color w:val="000000" w:themeColor="text1"/>
                <w:kern w:val="0"/>
                <w:szCs w:val="21"/>
              </w:rPr>
            </w:pPr>
            <w:r>
              <w:rPr>
                <w:rFonts w:hint="eastAsia" w:ascii="仿宋" w:hAnsi="仿宋" w:eastAsia="仿宋" w:cs="仿宋"/>
                <w:bCs/>
                <w:color w:val="000000" w:themeColor="text1"/>
                <w:szCs w:val="21"/>
              </w:rPr>
              <w:t>②每有1人</w:t>
            </w:r>
            <w:r>
              <w:rPr>
                <w:rFonts w:hint="eastAsia" w:ascii="仿宋" w:hAnsi="仿宋" w:eastAsia="仿宋" w:cs="仿宋"/>
                <w:bCs/>
                <w:color w:val="000000" w:themeColor="text1"/>
                <w:kern w:val="0"/>
                <w:szCs w:val="21"/>
              </w:rPr>
              <w:t>为合伙人或主任律师的，得1分；</w:t>
            </w:r>
          </w:p>
          <w:p>
            <w:pPr>
              <w:widowControl/>
              <w:spacing w:line="380" w:lineRule="exact"/>
              <w:jc w:val="left"/>
              <w:rPr>
                <w:rFonts w:hint="eastAsia" w:ascii="仿宋" w:hAnsi="仿宋" w:eastAsia="仿宋" w:cs="仿宋"/>
                <w:bCs/>
                <w:color w:val="000000" w:themeColor="text1"/>
                <w:kern w:val="0"/>
                <w:szCs w:val="21"/>
              </w:rPr>
            </w:pPr>
            <w:r>
              <w:rPr>
                <w:rFonts w:hint="eastAsia" w:ascii="仿宋" w:hAnsi="仿宋" w:eastAsia="仿宋" w:cs="仿宋"/>
                <w:bCs/>
                <w:color w:val="000000" w:themeColor="text1"/>
                <w:kern w:val="0"/>
                <w:szCs w:val="21"/>
              </w:rPr>
              <w:t>注：</w:t>
            </w:r>
          </w:p>
          <w:p>
            <w:pPr>
              <w:widowControl/>
              <w:spacing w:line="380" w:lineRule="exact"/>
              <w:jc w:val="left"/>
              <w:rPr>
                <w:rFonts w:hint="eastAsia" w:ascii="仿宋" w:hAnsi="仿宋" w:eastAsia="仿宋" w:cs="仿宋"/>
                <w:bCs/>
                <w:color w:val="000000" w:themeColor="text1"/>
                <w:kern w:val="0"/>
                <w:szCs w:val="21"/>
              </w:rPr>
            </w:pPr>
            <w:r>
              <w:rPr>
                <w:rFonts w:hint="eastAsia" w:ascii="仿宋" w:hAnsi="仿宋" w:eastAsia="仿宋" w:cs="仿宋"/>
                <w:bCs/>
                <w:color w:val="000000" w:themeColor="text1"/>
                <w:kern w:val="0"/>
                <w:szCs w:val="21"/>
              </w:rPr>
              <w:t>1）提供团队成员近半年来连续3个月的社保缴纳证明文件，未提供的不得分；</w:t>
            </w:r>
          </w:p>
          <w:p>
            <w:pPr>
              <w:widowControl/>
              <w:spacing w:line="380" w:lineRule="exact"/>
              <w:jc w:val="left"/>
              <w:rPr>
                <w:rFonts w:ascii="仿宋" w:hAnsi="仿宋" w:eastAsia="仿宋" w:cs="仿宋"/>
                <w:bCs/>
                <w:color w:val="000000" w:themeColor="text1"/>
                <w:kern w:val="0"/>
                <w:szCs w:val="21"/>
              </w:rPr>
            </w:pPr>
            <w:r>
              <w:rPr>
                <w:rFonts w:hint="eastAsia" w:ascii="仿宋" w:hAnsi="仿宋" w:eastAsia="仿宋" w:cs="仿宋"/>
                <w:bCs/>
                <w:color w:val="000000" w:themeColor="text1"/>
                <w:kern w:val="0"/>
                <w:szCs w:val="21"/>
              </w:rPr>
              <w:t>2）附相关证明材料。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23" w:hRule="atLeast"/>
        </w:trPr>
        <w:tc>
          <w:tcPr>
            <w:tcW w:w="406" w:type="pct"/>
            <w:vMerge w:val="continue"/>
            <w:vAlign w:val="center"/>
          </w:tcPr>
          <w:p>
            <w:pPr>
              <w:tabs>
                <w:tab w:val="left" w:pos="0"/>
              </w:tabs>
              <w:spacing w:line="380" w:lineRule="exact"/>
              <w:jc w:val="center"/>
              <w:rPr>
                <w:rFonts w:hint="eastAsia" w:ascii="仿宋" w:hAnsi="仿宋" w:eastAsia="仿宋" w:cs="仿宋"/>
                <w:bCs/>
                <w:color w:val="000000" w:themeColor="text1"/>
                <w:kern w:val="0"/>
                <w:szCs w:val="21"/>
              </w:rPr>
            </w:pPr>
          </w:p>
        </w:tc>
        <w:tc>
          <w:tcPr>
            <w:tcW w:w="696" w:type="pct"/>
            <w:vMerge w:val="continue"/>
            <w:vAlign w:val="center"/>
          </w:tcPr>
          <w:p>
            <w:pPr>
              <w:tabs>
                <w:tab w:val="left" w:pos="0"/>
              </w:tabs>
              <w:spacing w:line="380" w:lineRule="exact"/>
              <w:jc w:val="center"/>
              <w:rPr>
                <w:rFonts w:hint="eastAsia" w:ascii="仿宋" w:hAnsi="仿宋" w:eastAsia="仿宋" w:cs="仿宋"/>
                <w:bCs/>
                <w:color w:val="000000" w:themeColor="text1"/>
                <w:kern w:val="0"/>
                <w:szCs w:val="21"/>
              </w:rPr>
            </w:pPr>
          </w:p>
        </w:tc>
        <w:tc>
          <w:tcPr>
            <w:tcW w:w="984" w:type="pct"/>
            <w:vMerge w:val="continue"/>
            <w:vAlign w:val="center"/>
          </w:tcPr>
          <w:p>
            <w:pPr>
              <w:tabs>
                <w:tab w:val="left" w:pos="0"/>
              </w:tabs>
              <w:spacing w:line="380" w:lineRule="exact"/>
              <w:jc w:val="center"/>
              <w:rPr>
                <w:rFonts w:hint="eastAsia" w:ascii="仿宋" w:hAnsi="仿宋" w:eastAsia="仿宋" w:cs="仿宋"/>
                <w:bCs/>
                <w:color w:val="000000" w:themeColor="text1"/>
                <w:kern w:val="0"/>
                <w:szCs w:val="21"/>
              </w:rPr>
            </w:pPr>
          </w:p>
        </w:tc>
        <w:tc>
          <w:tcPr>
            <w:tcW w:w="2912" w:type="pct"/>
            <w:vMerge w:val="continue"/>
            <w:vAlign w:val="center"/>
          </w:tcPr>
          <w:p>
            <w:pPr>
              <w:widowControl/>
              <w:spacing w:line="380" w:lineRule="exact"/>
              <w:jc w:val="left"/>
              <w:rPr>
                <w:rFonts w:hint="eastAsia" w:ascii="仿宋" w:hAnsi="仿宋" w:eastAsia="仿宋" w:cs="仿宋"/>
                <w:bCs/>
                <w:color w:val="000000" w:themeColor="text1"/>
                <w:kern w:val="0"/>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406" w:type="pct"/>
            <w:vMerge w:val="continue"/>
            <w:vAlign w:val="center"/>
          </w:tcPr>
          <w:p>
            <w:pPr>
              <w:tabs>
                <w:tab w:val="left" w:pos="0"/>
              </w:tabs>
              <w:spacing w:line="380" w:lineRule="exact"/>
              <w:jc w:val="center"/>
              <w:rPr>
                <w:rFonts w:hint="eastAsia" w:ascii="仿宋" w:hAnsi="仿宋" w:eastAsia="仿宋" w:cs="仿宋"/>
                <w:bCs/>
                <w:color w:val="000000" w:themeColor="text1"/>
                <w:kern w:val="0"/>
                <w:szCs w:val="21"/>
              </w:rPr>
            </w:pPr>
          </w:p>
        </w:tc>
        <w:tc>
          <w:tcPr>
            <w:tcW w:w="696" w:type="pct"/>
            <w:vMerge w:val="continue"/>
            <w:vAlign w:val="center"/>
          </w:tcPr>
          <w:p>
            <w:pPr>
              <w:tabs>
                <w:tab w:val="left" w:pos="0"/>
              </w:tabs>
              <w:spacing w:line="380" w:lineRule="exact"/>
              <w:jc w:val="center"/>
              <w:rPr>
                <w:rFonts w:hint="eastAsia" w:ascii="仿宋" w:hAnsi="仿宋" w:eastAsia="仿宋" w:cs="仿宋"/>
                <w:bCs/>
                <w:color w:val="000000" w:themeColor="text1"/>
                <w:kern w:val="0"/>
                <w:szCs w:val="21"/>
              </w:rPr>
            </w:pPr>
          </w:p>
        </w:tc>
        <w:tc>
          <w:tcPr>
            <w:tcW w:w="984" w:type="pct"/>
            <w:vMerge w:val="continue"/>
            <w:vAlign w:val="center"/>
          </w:tcPr>
          <w:p>
            <w:pPr>
              <w:tabs>
                <w:tab w:val="left" w:pos="0"/>
              </w:tabs>
              <w:spacing w:line="380" w:lineRule="exact"/>
              <w:jc w:val="center"/>
              <w:rPr>
                <w:rFonts w:hint="eastAsia" w:ascii="仿宋" w:hAnsi="仿宋" w:eastAsia="仿宋" w:cs="仿宋"/>
                <w:bCs/>
                <w:color w:val="000000" w:themeColor="text1"/>
                <w:kern w:val="0"/>
                <w:szCs w:val="21"/>
              </w:rPr>
            </w:pPr>
          </w:p>
        </w:tc>
        <w:tc>
          <w:tcPr>
            <w:tcW w:w="2912" w:type="pct"/>
            <w:vMerge w:val="continue"/>
            <w:vAlign w:val="center"/>
          </w:tcPr>
          <w:p>
            <w:pPr>
              <w:widowControl/>
              <w:spacing w:line="380" w:lineRule="exact"/>
              <w:jc w:val="left"/>
              <w:rPr>
                <w:rFonts w:hint="eastAsia" w:ascii="仿宋" w:hAnsi="仿宋" w:eastAsia="仿宋" w:cs="仿宋"/>
                <w:bCs/>
                <w:color w:val="000000" w:themeColor="text1"/>
                <w:kern w:val="0"/>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20" w:hRule="atLeast"/>
        </w:trPr>
        <w:tc>
          <w:tcPr>
            <w:tcW w:w="406" w:type="pct"/>
            <w:vMerge w:val="restart"/>
            <w:vAlign w:val="center"/>
          </w:tcPr>
          <w:p>
            <w:pPr>
              <w:tabs>
                <w:tab w:val="left" w:pos="0"/>
              </w:tabs>
              <w:spacing w:line="380" w:lineRule="exact"/>
              <w:jc w:val="center"/>
              <w:rPr>
                <w:rFonts w:ascii="仿宋" w:hAnsi="仿宋" w:eastAsia="仿宋" w:cs="仿宋"/>
                <w:bCs/>
                <w:color w:val="000000" w:themeColor="text1"/>
                <w:kern w:val="0"/>
                <w:szCs w:val="21"/>
              </w:rPr>
            </w:pPr>
            <w:r>
              <w:rPr>
                <w:rFonts w:hint="eastAsia" w:ascii="仿宋" w:hAnsi="仿宋" w:eastAsia="仿宋" w:cs="仿宋"/>
                <w:bCs/>
                <w:color w:val="000000" w:themeColor="text1"/>
                <w:kern w:val="0"/>
                <w:szCs w:val="21"/>
              </w:rPr>
              <w:t>4</w:t>
            </w:r>
          </w:p>
        </w:tc>
        <w:tc>
          <w:tcPr>
            <w:tcW w:w="696" w:type="pct"/>
            <w:vMerge w:val="restart"/>
            <w:vAlign w:val="center"/>
          </w:tcPr>
          <w:p>
            <w:pPr>
              <w:tabs>
                <w:tab w:val="left" w:pos="0"/>
              </w:tabs>
              <w:spacing w:line="380" w:lineRule="exact"/>
              <w:jc w:val="center"/>
              <w:rPr>
                <w:rFonts w:ascii="仿宋" w:hAnsi="仿宋" w:eastAsia="仿宋" w:cs="仿宋"/>
                <w:bCs/>
                <w:color w:val="000000" w:themeColor="text1"/>
                <w:kern w:val="0"/>
                <w:szCs w:val="21"/>
              </w:rPr>
            </w:pPr>
            <w:r>
              <w:rPr>
                <w:rFonts w:hint="eastAsia" w:ascii="仿宋" w:hAnsi="仿宋" w:eastAsia="仿宋" w:cs="仿宋"/>
                <w:bCs/>
                <w:color w:val="000000" w:themeColor="text1"/>
                <w:kern w:val="0"/>
                <w:szCs w:val="21"/>
              </w:rPr>
              <w:t>服务能力及业绩（医疗及劳务争议类、常年法律顾问常态性的服务）</w:t>
            </w:r>
          </w:p>
        </w:tc>
        <w:tc>
          <w:tcPr>
            <w:tcW w:w="984" w:type="pct"/>
            <w:vMerge w:val="restart"/>
            <w:vAlign w:val="center"/>
          </w:tcPr>
          <w:p>
            <w:pPr>
              <w:tabs>
                <w:tab w:val="left" w:pos="0"/>
              </w:tabs>
              <w:spacing w:line="380" w:lineRule="exact"/>
              <w:jc w:val="center"/>
              <w:rPr>
                <w:rFonts w:ascii="仿宋" w:hAnsi="仿宋" w:eastAsia="仿宋" w:cs="仿宋"/>
                <w:bCs/>
                <w:color w:val="000000" w:themeColor="text1"/>
                <w:kern w:val="0"/>
                <w:szCs w:val="21"/>
              </w:rPr>
            </w:pPr>
            <w:r>
              <w:rPr>
                <w:rFonts w:hint="eastAsia" w:ascii="仿宋" w:hAnsi="仿宋" w:eastAsia="仿宋" w:cs="仿宋"/>
                <w:bCs/>
                <w:color w:val="000000" w:themeColor="text1"/>
                <w:kern w:val="0"/>
                <w:szCs w:val="21"/>
              </w:rPr>
              <w:t>28</w:t>
            </w:r>
            <w:r>
              <w:rPr>
                <w:rFonts w:hint="eastAsia" w:ascii="仿宋" w:hAnsi="仿宋" w:eastAsia="仿宋" w:cs="仿宋"/>
                <w:bCs/>
                <w:color w:val="000000" w:themeColor="text1"/>
                <w:kern w:val="0"/>
                <w:szCs w:val="21"/>
                <w:lang w:val="en-US" w:eastAsia="zh-CN"/>
              </w:rPr>
              <w:t>.5</w:t>
            </w:r>
            <w:r>
              <w:rPr>
                <w:rFonts w:hint="eastAsia" w:ascii="仿宋" w:hAnsi="仿宋" w:eastAsia="仿宋" w:cs="仿宋"/>
                <w:bCs/>
                <w:color w:val="000000" w:themeColor="text1"/>
                <w:kern w:val="0"/>
                <w:szCs w:val="21"/>
              </w:rPr>
              <w:t>分</w:t>
            </w:r>
          </w:p>
        </w:tc>
        <w:tc>
          <w:tcPr>
            <w:tcW w:w="2912" w:type="pct"/>
            <w:vMerge w:val="restart"/>
            <w:vAlign w:val="center"/>
          </w:tcPr>
          <w:p>
            <w:pPr>
              <w:numPr>
                <w:ilvl w:val="0"/>
                <w:numId w:val="0"/>
              </w:numPr>
              <w:tabs>
                <w:tab w:val="left" w:pos="35"/>
              </w:tabs>
              <w:spacing w:line="380" w:lineRule="exact"/>
              <w:ind w:leftChars="16"/>
              <w:rPr>
                <w:rFonts w:ascii="仿宋" w:hAnsi="仿宋" w:eastAsia="仿宋" w:cs="仿宋"/>
                <w:bCs/>
                <w:color w:val="000000" w:themeColor="text1"/>
                <w:kern w:val="0"/>
                <w:szCs w:val="21"/>
              </w:rPr>
            </w:pPr>
            <w:r>
              <w:rPr>
                <w:rFonts w:hint="eastAsia" w:ascii="仿宋" w:hAnsi="仿宋" w:eastAsia="仿宋" w:cs="仿宋"/>
                <w:bCs/>
                <w:color w:val="000000" w:themeColor="text1"/>
                <w:kern w:val="0"/>
                <w:szCs w:val="21"/>
                <w:lang w:val="en-US" w:eastAsia="zh-CN"/>
              </w:rPr>
              <w:t>1.</w:t>
            </w:r>
            <w:r>
              <w:rPr>
                <w:rFonts w:hint="eastAsia" w:ascii="仿宋" w:hAnsi="仿宋" w:eastAsia="仿宋" w:cs="仿宋"/>
                <w:bCs/>
                <w:color w:val="000000" w:themeColor="text1"/>
                <w:kern w:val="0"/>
                <w:szCs w:val="21"/>
              </w:rPr>
              <w:t>服务团队责任律师具有的专业背景及服务能力经验（此项满分</w:t>
            </w:r>
            <w:r>
              <w:rPr>
                <w:rFonts w:hint="eastAsia" w:ascii="仿宋" w:hAnsi="仿宋" w:eastAsia="仿宋" w:cs="仿宋"/>
                <w:bCs/>
                <w:color w:val="000000" w:themeColor="text1"/>
                <w:kern w:val="0"/>
                <w:szCs w:val="21"/>
                <w:lang w:val="en-US" w:eastAsia="zh-CN"/>
              </w:rPr>
              <w:t>2.5</w:t>
            </w:r>
            <w:r>
              <w:rPr>
                <w:rFonts w:hint="eastAsia" w:ascii="仿宋" w:hAnsi="仿宋" w:eastAsia="仿宋" w:cs="仿宋"/>
                <w:bCs/>
                <w:color w:val="000000" w:themeColor="text1"/>
                <w:kern w:val="0"/>
                <w:szCs w:val="21"/>
              </w:rPr>
              <w:t>分）</w:t>
            </w:r>
          </w:p>
          <w:p>
            <w:pPr>
              <w:widowControl/>
              <w:spacing w:line="380" w:lineRule="exact"/>
              <w:jc w:val="left"/>
              <w:rPr>
                <w:rFonts w:ascii="仿宋" w:hAnsi="仿宋" w:eastAsia="仿宋" w:cs="仿宋"/>
                <w:bCs/>
                <w:color w:val="000000" w:themeColor="text1"/>
                <w:kern w:val="0"/>
                <w:szCs w:val="21"/>
              </w:rPr>
            </w:pPr>
            <w:r>
              <w:rPr>
                <w:rFonts w:hint="eastAsia" w:ascii="仿宋" w:hAnsi="仿宋" w:eastAsia="仿宋" w:cs="仿宋"/>
                <w:bCs/>
                <w:color w:val="000000" w:themeColor="text1"/>
                <w:kern w:val="0"/>
                <w:szCs w:val="21"/>
              </w:rPr>
              <w:t>①服务团队责任律师为律协医疗卫生专业委员会委员的，每人0.5分，满分1</w:t>
            </w:r>
            <w:r>
              <w:rPr>
                <w:rFonts w:hint="eastAsia" w:ascii="仿宋" w:hAnsi="仿宋" w:eastAsia="仿宋" w:cs="仿宋"/>
                <w:bCs/>
                <w:color w:val="000000" w:themeColor="text1"/>
                <w:kern w:val="0"/>
                <w:szCs w:val="21"/>
                <w:lang w:val="en-US" w:eastAsia="zh-CN"/>
              </w:rPr>
              <w:t>.5</w:t>
            </w:r>
            <w:r>
              <w:rPr>
                <w:rFonts w:hint="eastAsia" w:ascii="仿宋" w:hAnsi="仿宋" w:eastAsia="仿宋" w:cs="仿宋"/>
                <w:bCs/>
                <w:color w:val="000000" w:themeColor="text1"/>
                <w:kern w:val="0"/>
                <w:szCs w:val="21"/>
              </w:rPr>
              <w:t>分；</w:t>
            </w:r>
          </w:p>
          <w:p>
            <w:pPr>
              <w:widowControl/>
              <w:spacing w:line="380" w:lineRule="exact"/>
              <w:jc w:val="left"/>
              <w:rPr>
                <w:rFonts w:ascii="仿宋" w:hAnsi="仿宋" w:eastAsia="仿宋" w:cs="仿宋"/>
                <w:bCs/>
                <w:color w:val="000000" w:themeColor="text1"/>
                <w:kern w:val="0"/>
                <w:szCs w:val="21"/>
              </w:rPr>
            </w:pPr>
            <w:r>
              <w:rPr>
                <w:rFonts w:hint="eastAsia" w:ascii="仿宋" w:hAnsi="仿宋" w:eastAsia="仿宋" w:cs="仿宋"/>
                <w:bCs/>
                <w:color w:val="000000" w:themeColor="text1"/>
                <w:kern w:val="0"/>
                <w:szCs w:val="21"/>
              </w:rPr>
              <w:t>②服务团队责任律师为律协劳动与社会保障法专业委员会委员的，每人0.5分，满分1分；</w:t>
            </w:r>
          </w:p>
          <w:p>
            <w:pPr>
              <w:spacing w:line="380" w:lineRule="exact"/>
              <w:rPr>
                <w:rFonts w:ascii="仿宋" w:hAnsi="仿宋" w:eastAsia="仿宋" w:cs="仿宋"/>
                <w:bCs/>
                <w:color w:val="000000" w:themeColor="text1"/>
                <w:kern w:val="0"/>
                <w:szCs w:val="21"/>
              </w:rPr>
            </w:pPr>
            <w:r>
              <w:rPr>
                <w:rFonts w:hint="eastAsia" w:ascii="仿宋" w:hAnsi="仿宋" w:eastAsia="仿宋" w:cs="仿宋"/>
                <w:bCs/>
                <w:color w:val="000000" w:themeColor="text1"/>
                <w:kern w:val="0"/>
                <w:szCs w:val="21"/>
              </w:rPr>
              <w:t>2.近三年服务团队律师（尤其是责任律师）代理或经办的医疗、劳动或劳务等纠纷案件概况</w:t>
            </w:r>
            <w:r>
              <w:rPr>
                <w:rFonts w:hint="eastAsia" w:ascii="仿宋" w:hAnsi="仿宋" w:eastAsia="仿宋" w:cs="仿宋"/>
                <w:bCs/>
                <w:color w:val="000000" w:themeColor="text1"/>
                <w:kern w:val="0"/>
                <w:szCs w:val="21"/>
                <w:lang w:eastAsia="zh-CN"/>
              </w:rPr>
              <w:t>，</w:t>
            </w:r>
            <w:r>
              <w:rPr>
                <w:rFonts w:hint="eastAsia" w:ascii="仿宋" w:hAnsi="仿宋" w:eastAsia="仿宋" w:cs="仿宋"/>
                <w:bCs/>
                <w:color w:val="000000" w:themeColor="text1"/>
                <w:kern w:val="0"/>
                <w:szCs w:val="21"/>
              </w:rPr>
              <w:t>此项满分15分（需提供案件列表清单（格式自拟）和案件真实性承诺书，承诺“所列案件真实，采购人签认合同前有权要求投标人提供案件判决书等证明材料进行核实，如无法证实其真实性，采购人有权拒绝签订合同，投标人后果自负”），</w:t>
            </w:r>
            <w:r>
              <w:rPr>
                <w:rFonts w:hint="eastAsia" w:ascii="仿宋" w:hAnsi="仿宋" w:eastAsia="仿宋" w:cs="仿宋"/>
                <w:bCs/>
                <w:color w:val="000000" w:themeColor="text1"/>
                <w:kern w:val="0"/>
                <w:szCs w:val="21"/>
                <w:lang w:val="en-US" w:eastAsia="zh-CN"/>
              </w:rPr>
              <w:t>清单及承诺书</w:t>
            </w:r>
            <w:r>
              <w:rPr>
                <w:rFonts w:hint="eastAsia" w:ascii="仿宋" w:hAnsi="仿宋" w:eastAsia="仿宋" w:cs="仿宋"/>
                <w:bCs/>
                <w:color w:val="000000" w:themeColor="text1"/>
                <w:kern w:val="0"/>
                <w:szCs w:val="21"/>
              </w:rPr>
              <w:t>二者缺一未提供不得分；</w:t>
            </w:r>
          </w:p>
          <w:p>
            <w:pPr>
              <w:widowControl/>
              <w:spacing w:line="380" w:lineRule="exact"/>
              <w:jc w:val="left"/>
              <w:rPr>
                <w:rFonts w:ascii="仿宋" w:hAnsi="仿宋" w:eastAsia="仿宋" w:cs="仿宋"/>
                <w:bCs/>
                <w:color w:val="000000" w:themeColor="text1"/>
                <w:kern w:val="0"/>
                <w:szCs w:val="21"/>
              </w:rPr>
            </w:pPr>
            <w:r>
              <w:rPr>
                <w:rFonts w:hint="eastAsia" w:ascii="仿宋" w:hAnsi="仿宋" w:eastAsia="仿宋" w:cs="仿宋"/>
                <w:bCs/>
                <w:color w:val="000000" w:themeColor="text1"/>
                <w:kern w:val="0"/>
                <w:szCs w:val="21"/>
              </w:rPr>
              <w:t>①医疗纠纷类：每个案例0.3分，满</w:t>
            </w:r>
            <w:bookmarkStart w:id="0" w:name="_GoBack"/>
            <w:bookmarkEnd w:id="0"/>
            <w:r>
              <w:rPr>
                <w:rFonts w:hint="eastAsia" w:ascii="仿宋" w:hAnsi="仿宋" w:eastAsia="仿宋" w:cs="仿宋"/>
                <w:bCs/>
                <w:color w:val="000000" w:themeColor="text1"/>
                <w:kern w:val="0"/>
                <w:szCs w:val="21"/>
              </w:rPr>
              <w:t>分9分；</w:t>
            </w:r>
          </w:p>
          <w:p>
            <w:pPr>
              <w:widowControl/>
              <w:spacing w:line="380" w:lineRule="exact"/>
              <w:jc w:val="left"/>
              <w:rPr>
                <w:rFonts w:ascii="仿宋" w:hAnsi="仿宋" w:eastAsia="仿宋" w:cs="仿宋"/>
                <w:bCs/>
                <w:color w:val="000000" w:themeColor="text1"/>
                <w:kern w:val="0"/>
                <w:szCs w:val="21"/>
              </w:rPr>
            </w:pPr>
            <w:r>
              <w:rPr>
                <w:rFonts w:hint="eastAsia" w:ascii="仿宋" w:hAnsi="仿宋" w:eastAsia="仿宋" w:cs="仿宋"/>
                <w:bCs/>
                <w:color w:val="000000" w:themeColor="text1"/>
                <w:kern w:val="0"/>
                <w:szCs w:val="21"/>
              </w:rPr>
              <w:t>②劳动或劳务纠纷类：每个案例0.2分，满分6分；</w:t>
            </w:r>
          </w:p>
          <w:p>
            <w:pPr>
              <w:widowControl/>
              <w:spacing w:line="380" w:lineRule="exact"/>
              <w:jc w:val="left"/>
              <w:rPr>
                <w:rFonts w:ascii="仿宋" w:hAnsi="仿宋" w:eastAsia="仿宋" w:cs="仿宋"/>
                <w:bCs/>
                <w:color w:val="000000" w:themeColor="text1"/>
                <w:kern w:val="0"/>
                <w:szCs w:val="21"/>
              </w:rPr>
            </w:pPr>
            <w:r>
              <w:rPr>
                <w:rFonts w:hint="eastAsia" w:ascii="仿宋" w:hAnsi="仿宋" w:eastAsia="仿宋" w:cs="仿宋"/>
                <w:bCs/>
                <w:color w:val="000000" w:themeColor="text1"/>
                <w:kern w:val="0"/>
                <w:szCs w:val="21"/>
              </w:rPr>
              <w:t>3.近三年，服务团队成员中，每有1人为顾问单位审核合同量（本项最高5分）：＞1000份/年的，得5分，500-1000份/年的，得3分，＜500份/年的，得2分；</w:t>
            </w:r>
          </w:p>
          <w:p>
            <w:pPr>
              <w:spacing w:line="380" w:lineRule="exact"/>
              <w:rPr>
                <w:rFonts w:hint="eastAsia" w:ascii="仿宋" w:hAnsi="仿宋" w:eastAsia="仿宋" w:cs="仿宋"/>
                <w:bCs/>
                <w:color w:val="000000" w:themeColor="text1"/>
                <w:kern w:val="0"/>
                <w:szCs w:val="21"/>
                <w:lang w:eastAsia="zh-CN"/>
              </w:rPr>
            </w:pPr>
            <w:r>
              <w:rPr>
                <w:rFonts w:hint="eastAsia" w:ascii="仿宋" w:hAnsi="仿宋" w:eastAsia="仿宋" w:cs="仿宋"/>
                <w:bCs/>
                <w:color w:val="000000" w:themeColor="text1"/>
                <w:kern w:val="0"/>
                <w:szCs w:val="21"/>
              </w:rPr>
              <w:t>4.近三年服务团队责任律师承担医疗单位的法律顾问的（每人每个单位计0.3分，需提供合同</w:t>
            </w:r>
            <w:r>
              <w:rPr>
                <w:rFonts w:hint="eastAsia" w:ascii="仿宋" w:hAnsi="仿宋" w:eastAsia="仿宋" w:cs="仿宋"/>
                <w:bCs/>
                <w:color w:val="000000" w:themeColor="text1"/>
                <w:kern w:val="0"/>
                <w:szCs w:val="21"/>
                <w:lang w:eastAsia="zh-CN"/>
              </w:rPr>
              <w:t>、</w:t>
            </w:r>
            <w:r>
              <w:rPr>
                <w:rFonts w:hint="eastAsia" w:ascii="仿宋" w:hAnsi="仿宋" w:eastAsia="仿宋" w:cs="仿宋"/>
                <w:bCs/>
                <w:color w:val="000000" w:themeColor="text1"/>
                <w:kern w:val="0"/>
                <w:szCs w:val="21"/>
                <w:lang w:val="en-US" w:eastAsia="zh-CN"/>
              </w:rPr>
              <w:t>协议、聘书</w:t>
            </w:r>
            <w:r>
              <w:rPr>
                <w:rFonts w:hint="eastAsia" w:ascii="仿宋" w:hAnsi="仿宋" w:eastAsia="仿宋" w:cs="仿宋"/>
                <w:bCs/>
                <w:color w:val="000000" w:themeColor="text1"/>
                <w:kern w:val="0"/>
                <w:szCs w:val="21"/>
              </w:rPr>
              <w:t>复印件加盖公章作为证明材料，此项满分6分）</w:t>
            </w:r>
            <w:r>
              <w:rPr>
                <w:rFonts w:hint="eastAsia" w:ascii="仿宋" w:hAnsi="仿宋" w:eastAsia="仿宋" w:cs="仿宋"/>
                <w:bCs/>
                <w:color w:val="000000" w:themeColor="text1"/>
                <w:kern w:val="0"/>
                <w:szCs w:val="21"/>
                <w:lang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17" w:hRule="atLeast"/>
        </w:trPr>
        <w:tc>
          <w:tcPr>
            <w:tcW w:w="406" w:type="pct"/>
            <w:vMerge w:val="continue"/>
            <w:vAlign w:val="center"/>
          </w:tcPr>
          <w:p>
            <w:pPr>
              <w:tabs>
                <w:tab w:val="left" w:pos="0"/>
              </w:tabs>
              <w:spacing w:line="380" w:lineRule="exact"/>
              <w:jc w:val="center"/>
              <w:rPr>
                <w:rFonts w:hint="eastAsia" w:ascii="仿宋" w:hAnsi="仿宋" w:eastAsia="仿宋" w:cs="仿宋"/>
                <w:bCs/>
                <w:color w:val="000000" w:themeColor="text1"/>
                <w:kern w:val="0"/>
                <w:szCs w:val="21"/>
              </w:rPr>
            </w:pPr>
          </w:p>
        </w:tc>
        <w:tc>
          <w:tcPr>
            <w:tcW w:w="696" w:type="pct"/>
            <w:vMerge w:val="continue"/>
            <w:vAlign w:val="center"/>
          </w:tcPr>
          <w:p>
            <w:pPr>
              <w:tabs>
                <w:tab w:val="left" w:pos="0"/>
              </w:tabs>
              <w:spacing w:line="380" w:lineRule="exact"/>
              <w:jc w:val="center"/>
              <w:rPr>
                <w:rFonts w:hint="eastAsia" w:ascii="仿宋" w:hAnsi="仿宋" w:eastAsia="仿宋" w:cs="仿宋"/>
                <w:bCs/>
                <w:color w:val="000000" w:themeColor="text1"/>
                <w:kern w:val="0"/>
                <w:szCs w:val="21"/>
              </w:rPr>
            </w:pPr>
          </w:p>
        </w:tc>
        <w:tc>
          <w:tcPr>
            <w:tcW w:w="984" w:type="pct"/>
            <w:vMerge w:val="continue"/>
            <w:vAlign w:val="center"/>
          </w:tcPr>
          <w:p>
            <w:pPr>
              <w:tabs>
                <w:tab w:val="left" w:pos="0"/>
              </w:tabs>
              <w:spacing w:line="380" w:lineRule="exact"/>
              <w:jc w:val="center"/>
              <w:rPr>
                <w:rFonts w:hint="eastAsia" w:ascii="仿宋" w:hAnsi="仿宋" w:eastAsia="仿宋" w:cs="仿宋"/>
                <w:bCs/>
                <w:color w:val="000000" w:themeColor="text1"/>
                <w:kern w:val="0"/>
                <w:szCs w:val="21"/>
              </w:rPr>
            </w:pPr>
          </w:p>
        </w:tc>
        <w:tc>
          <w:tcPr>
            <w:tcW w:w="2912" w:type="pct"/>
            <w:vMerge w:val="continue"/>
            <w:vAlign w:val="center"/>
          </w:tcPr>
          <w:p>
            <w:pPr>
              <w:numPr>
                <w:ilvl w:val="0"/>
                <w:numId w:val="1"/>
              </w:numPr>
              <w:tabs>
                <w:tab w:val="left" w:pos="35"/>
                <w:tab w:val="clear" w:pos="312"/>
              </w:tabs>
              <w:spacing w:line="380" w:lineRule="exact"/>
              <w:ind w:left="35" w:leftChars="16" w:hanging="1"/>
              <w:rPr>
                <w:rFonts w:hint="eastAsia" w:ascii="仿宋" w:hAnsi="仿宋" w:eastAsia="仿宋" w:cs="仿宋"/>
                <w:bCs/>
                <w:color w:val="000000" w:themeColor="text1"/>
                <w:kern w:val="0"/>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17" w:hRule="atLeast"/>
        </w:trPr>
        <w:tc>
          <w:tcPr>
            <w:tcW w:w="406" w:type="pct"/>
            <w:vMerge w:val="continue"/>
            <w:vAlign w:val="center"/>
          </w:tcPr>
          <w:p>
            <w:pPr>
              <w:tabs>
                <w:tab w:val="left" w:pos="0"/>
              </w:tabs>
              <w:spacing w:line="380" w:lineRule="exact"/>
              <w:jc w:val="center"/>
              <w:rPr>
                <w:rFonts w:hint="eastAsia" w:ascii="仿宋" w:hAnsi="仿宋" w:eastAsia="仿宋" w:cs="仿宋"/>
                <w:bCs/>
                <w:color w:val="000000" w:themeColor="text1"/>
                <w:kern w:val="0"/>
                <w:szCs w:val="21"/>
              </w:rPr>
            </w:pPr>
          </w:p>
        </w:tc>
        <w:tc>
          <w:tcPr>
            <w:tcW w:w="696" w:type="pct"/>
            <w:vMerge w:val="continue"/>
            <w:vAlign w:val="center"/>
          </w:tcPr>
          <w:p>
            <w:pPr>
              <w:tabs>
                <w:tab w:val="left" w:pos="0"/>
              </w:tabs>
              <w:spacing w:line="380" w:lineRule="exact"/>
              <w:jc w:val="center"/>
              <w:rPr>
                <w:rFonts w:hint="eastAsia" w:ascii="仿宋" w:hAnsi="仿宋" w:eastAsia="仿宋" w:cs="仿宋"/>
                <w:bCs/>
                <w:color w:val="000000" w:themeColor="text1"/>
                <w:kern w:val="0"/>
                <w:szCs w:val="21"/>
              </w:rPr>
            </w:pPr>
          </w:p>
        </w:tc>
        <w:tc>
          <w:tcPr>
            <w:tcW w:w="984" w:type="pct"/>
            <w:vMerge w:val="continue"/>
            <w:vAlign w:val="center"/>
          </w:tcPr>
          <w:p>
            <w:pPr>
              <w:tabs>
                <w:tab w:val="left" w:pos="0"/>
              </w:tabs>
              <w:spacing w:line="380" w:lineRule="exact"/>
              <w:jc w:val="center"/>
              <w:rPr>
                <w:rFonts w:hint="eastAsia" w:ascii="仿宋" w:hAnsi="仿宋" w:eastAsia="仿宋" w:cs="仿宋"/>
                <w:bCs/>
                <w:color w:val="000000" w:themeColor="text1"/>
                <w:kern w:val="0"/>
                <w:szCs w:val="21"/>
              </w:rPr>
            </w:pPr>
          </w:p>
        </w:tc>
        <w:tc>
          <w:tcPr>
            <w:tcW w:w="2912" w:type="pct"/>
            <w:vMerge w:val="continue"/>
            <w:vAlign w:val="center"/>
          </w:tcPr>
          <w:p>
            <w:pPr>
              <w:numPr>
                <w:ilvl w:val="0"/>
                <w:numId w:val="1"/>
              </w:numPr>
              <w:tabs>
                <w:tab w:val="left" w:pos="35"/>
                <w:tab w:val="clear" w:pos="312"/>
              </w:tabs>
              <w:spacing w:line="380" w:lineRule="exact"/>
              <w:ind w:left="35" w:leftChars="16" w:hanging="1"/>
              <w:rPr>
                <w:rFonts w:hint="eastAsia" w:ascii="仿宋" w:hAnsi="仿宋" w:eastAsia="仿宋" w:cs="仿宋"/>
                <w:bCs/>
                <w:color w:val="000000" w:themeColor="text1"/>
                <w:kern w:val="0"/>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17" w:hRule="atLeast"/>
        </w:trPr>
        <w:tc>
          <w:tcPr>
            <w:tcW w:w="406" w:type="pct"/>
            <w:vMerge w:val="continue"/>
            <w:vAlign w:val="center"/>
          </w:tcPr>
          <w:p>
            <w:pPr>
              <w:tabs>
                <w:tab w:val="left" w:pos="0"/>
              </w:tabs>
              <w:spacing w:line="380" w:lineRule="exact"/>
              <w:jc w:val="center"/>
              <w:rPr>
                <w:rFonts w:hint="eastAsia" w:ascii="仿宋" w:hAnsi="仿宋" w:eastAsia="仿宋" w:cs="仿宋"/>
                <w:bCs/>
                <w:color w:val="000000" w:themeColor="text1"/>
                <w:kern w:val="0"/>
                <w:szCs w:val="21"/>
              </w:rPr>
            </w:pPr>
          </w:p>
        </w:tc>
        <w:tc>
          <w:tcPr>
            <w:tcW w:w="696" w:type="pct"/>
            <w:vMerge w:val="continue"/>
            <w:vAlign w:val="center"/>
          </w:tcPr>
          <w:p>
            <w:pPr>
              <w:tabs>
                <w:tab w:val="left" w:pos="0"/>
              </w:tabs>
              <w:spacing w:line="380" w:lineRule="exact"/>
              <w:jc w:val="center"/>
              <w:rPr>
                <w:rFonts w:hint="eastAsia" w:ascii="仿宋" w:hAnsi="仿宋" w:eastAsia="仿宋" w:cs="仿宋"/>
                <w:bCs/>
                <w:color w:val="000000" w:themeColor="text1"/>
                <w:kern w:val="0"/>
                <w:szCs w:val="21"/>
              </w:rPr>
            </w:pPr>
          </w:p>
        </w:tc>
        <w:tc>
          <w:tcPr>
            <w:tcW w:w="984" w:type="pct"/>
            <w:vMerge w:val="continue"/>
            <w:vAlign w:val="center"/>
          </w:tcPr>
          <w:p>
            <w:pPr>
              <w:tabs>
                <w:tab w:val="left" w:pos="0"/>
              </w:tabs>
              <w:spacing w:line="380" w:lineRule="exact"/>
              <w:jc w:val="center"/>
              <w:rPr>
                <w:rFonts w:hint="eastAsia" w:ascii="仿宋" w:hAnsi="仿宋" w:eastAsia="仿宋" w:cs="仿宋"/>
                <w:bCs/>
                <w:color w:val="000000" w:themeColor="text1"/>
                <w:kern w:val="0"/>
                <w:szCs w:val="21"/>
              </w:rPr>
            </w:pPr>
          </w:p>
        </w:tc>
        <w:tc>
          <w:tcPr>
            <w:tcW w:w="2912" w:type="pct"/>
            <w:vMerge w:val="continue"/>
            <w:vAlign w:val="center"/>
          </w:tcPr>
          <w:p>
            <w:pPr>
              <w:numPr>
                <w:ilvl w:val="0"/>
                <w:numId w:val="1"/>
              </w:numPr>
              <w:tabs>
                <w:tab w:val="left" w:pos="35"/>
                <w:tab w:val="clear" w:pos="312"/>
              </w:tabs>
              <w:spacing w:line="380" w:lineRule="exact"/>
              <w:ind w:left="35" w:leftChars="16" w:hanging="1"/>
              <w:rPr>
                <w:rFonts w:hint="eastAsia" w:ascii="仿宋" w:hAnsi="仿宋" w:eastAsia="仿宋" w:cs="仿宋"/>
                <w:bCs/>
                <w:color w:val="000000" w:themeColor="text1"/>
                <w:kern w:val="0"/>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15" w:hRule="atLeast"/>
        </w:trPr>
        <w:tc>
          <w:tcPr>
            <w:tcW w:w="406" w:type="pct"/>
            <w:vMerge w:val="continue"/>
            <w:vAlign w:val="center"/>
          </w:tcPr>
          <w:p>
            <w:pPr>
              <w:tabs>
                <w:tab w:val="left" w:pos="0"/>
              </w:tabs>
              <w:spacing w:line="380" w:lineRule="exact"/>
              <w:jc w:val="center"/>
              <w:rPr>
                <w:rFonts w:hint="eastAsia" w:ascii="仿宋" w:hAnsi="仿宋" w:eastAsia="仿宋" w:cs="仿宋"/>
                <w:bCs/>
                <w:color w:val="000000" w:themeColor="text1"/>
                <w:kern w:val="0"/>
                <w:szCs w:val="21"/>
              </w:rPr>
            </w:pPr>
          </w:p>
        </w:tc>
        <w:tc>
          <w:tcPr>
            <w:tcW w:w="696" w:type="pct"/>
            <w:vMerge w:val="continue"/>
            <w:vAlign w:val="center"/>
          </w:tcPr>
          <w:p>
            <w:pPr>
              <w:tabs>
                <w:tab w:val="left" w:pos="0"/>
              </w:tabs>
              <w:spacing w:line="380" w:lineRule="exact"/>
              <w:jc w:val="center"/>
              <w:rPr>
                <w:rFonts w:hint="eastAsia" w:ascii="仿宋" w:hAnsi="仿宋" w:eastAsia="仿宋" w:cs="仿宋"/>
                <w:bCs/>
                <w:color w:val="000000" w:themeColor="text1"/>
                <w:kern w:val="0"/>
                <w:szCs w:val="21"/>
              </w:rPr>
            </w:pPr>
          </w:p>
        </w:tc>
        <w:tc>
          <w:tcPr>
            <w:tcW w:w="984" w:type="pct"/>
            <w:vMerge w:val="continue"/>
            <w:vAlign w:val="center"/>
          </w:tcPr>
          <w:p>
            <w:pPr>
              <w:tabs>
                <w:tab w:val="left" w:pos="0"/>
              </w:tabs>
              <w:spacing w:line="380" w:lineRule="exact"/>
              <w:jc w:val="center"/>
              <w:rPr>
                <w:rFonts w:hint="eastAsia" w:ascii="仿宋" w:hAnsi="仿宋" w:eastAsia="仿宋" w:cs="仿宋"/>
                <w:bCs/>
                <w:color w:val="000000" w:themeColor="text1"/>
                <w:kern w:val="0"/>
                <w:szCs w:val="21"/>
              </w:rPr>
            </w:pPr>
          </w:p>
        </w:tc>
        <w:tc>
          <w:tcPr>
            <w:tcW w:w="2912" w:type="pct"/>
            <w:vMerge w:val="continue"/>
            <w:vAlign w:val="center"/>
          </w:tcPr>
          <w:p>
            <w:pPr>
              <w:numPr>
                <w:ilvl w:val="0"/>
                <w:numId w:val="1"/>
              </w:numPr>
              <w:tabs>
                <w:tab w:val="left" w:pos="35"/>
                <w:tab w:val="clear" w:pos="312"/>
              </w:tabs>
              <w:spacing w:line="380" w:lineRule="exact"/>
              <w:ind w:left="35" w:leftChars="16" w:hanging="1"/>
              <w:rPr>
                <w:rFonts w:hint="eastAsia" w:ascii="仿宋" w:hAnsi="仿宋" w:eastAsia="仿宋" w:cs="仿宋"/>
                <w:bCs/>
                <w:color w:val="000000" w:themeColor="text1"/>
                <w:kern w:val="0"/>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406" w:type="pct"/>
            <w:vMerge w:val="continue"/>
            <w:vAlign w:val="center"/>
          </w:tcPr>
          <w:p>
            <w:pPr>
              <w:tabs>
                <w:tab w:val="left" w:pos="0"/>
              </w:tabs>
              <w:spacing w:line="380" w:lineRule="exact"/>
              <w:jc w:val="center"/>
              <w:rPr>
                <w:rFonts w:hint="eastAsia" w:ascii="仿宋" w:hAnsi="仿宋" w:eastAsia="仿宋" w:cs="仿宋"/>
                <w:bCs/>
                <w:color w:val="000000" w:themeColor="text1"/>
                <w:kern w:val="0"/>
                <w:szCs w:val="21"/>
              </w:rPr>
            </w:pPr>
          </w:p>
        </w:tc>
        <w:tc>
          <w:tcPr>
            <w:tcW w:w="696" w:type="pct"/>
            <w:vMerge w:val="continue"/>
            <w:vAlign w:val="center"/>
          </w:tcPr>
          <w:p>
            <w:pPr>
              <w:tabs>
                <w:tab w:val="left" w:pos="0"/>
              </w:tabs>
              <w:spacing w:line="380" w:lineRule="exact"/>
              <w:jc w:val="center"/>
              <w:rPr>
                <w:rFonts w:hint="eastAsia" w:ascii="仿宋" w:hAnsi="仿宋" w:eastAsia="仿宋" w:cs="仿宋"/>
                <w:bCs/>
                <w:color w:val="000000" w:themeColor="text1"/>
                <w:kern w:val="0"/>
                <w:szCs w:val="21"/>
              </w:rPr>
            </w:pPr>
          </w:p>
        </w:tc>
        <w:tc>
          <w:tcPr>
            <w:tcW w:w="984" w:type="pct"/>
            <w:vMerge w:val="continue"/>
            <w:vAlign w:val="center"/>
          </w:tcPr>
          <w:p>
            <w:pPr>
              <w:tabs>
                <w:tab w:val="left" w:pos="0"/>
              </w:tabs>
              <w:spacing w:line="380" w:lineRule="exact"/>
              <w:jc w:val="center"/>
              <w:rPr>
                <w:rFonts w:hint="eastAsia" w:ascii="仿宋" w:hAnsi="仿宋" w:eastAsia="仿宋" w:cs="仿宋"/>
                <w:bCs/>
                <w:color w:val="000000" w:themeColor="text1"/>
                <w:kern w:val="0"/>
                <w:szCs w:val="21"/>
              </w:rPr>
            </w:pPr>
          </w:p>
        </w:tc>
        <w:tc>
          <w:tcPr>
            <w:tcW w:w="2912" w:type="pct"/>
            <w:vMerge w:val="continue"/>
            <w:vAlign w:val="center"/>
          </w:tcPr>
          <w:p>
            <w:pPr>
              <w:numPr>
                <w:ilvl w:val="0"/>
                <w:numId w:val="1"/>
              </w:numPr>
              <w:tabs>
                <w:tab w:val="left" w:pos="35"/>
                <w:tab w:val="clear" w:pos="312"/>
              </w:tabs>
              <w:spacing w:line="380" w:lineRule="exact"/>
              <w:ind w:left="35" w:leftChars="16" w:hanging="1"/>
              <w:rPr>
                <w:rFonts w:hint="eastAsia" w:ascii="仿宋" w:hAnsi="仿宋" w:eastAsia="仿宋" w:cs="仿宋"/>
                <w:bCs/>
                <w:color w:val="000000" w:themeColor="text1"/>
                <w:kern w:val="0"/>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35" w:hRule="atLeast"/>
        </w:trPr>
        <w:tc>
          <w:tcPr>
            <w:tcW w:w="406" w:type="pct"/>
            <w:vMerge w:val="restart"/>
            <w:vAlign w:val="center"/>
          </w:tcPr>
          <w:p>
            <w:pPr>
              <w:tabs>
                <w:tab w:val="left" w:pos="0"/>
              </w:tabs>
              <w:spacing w:line="380" w:lineRule="exact"/>
              <w:jc w:val="center"/>
              <w:rPr>
                <w:rFonts w:ascii="仿宋" w:hAnsi="仿宋" w:eastAsia="仿宋" w:cs="仿宋"/>
                <w:bCs/>
                <w:color w:val="000000" w:themeColor="text1"/>
                <w:kern w:val="0"/>
                <w:szCs w:val="21"/>
              </w:rPr>
            </w:pPr>
            <w:r>
              <w:rPr>
                <w:rFonts w:hint="eastAsia" w:ascii="仿宋" w:hAnsi="仿宋" w:eastAsia="仿宋" w:cs="仿宋"/>
                <w:bCs/>
                <w:color w:val="000000" w:themeColor="text1"/>
                <w:kern w:val="0"/>
                <w:szCs w:val="21"/>
              </w:rPr>
              <w:t>5</w:t>
            </w:r>
          </w:p>
        </w:tc>
        <w:tc>
          <w:tcPr>
            <w:tcW w:w="696" w:type="pct"/>
            <w:vMerge w:val="restart"/>
            <w:vAlign w:val="center"/>
          </w:tcPr>
          <w:p>
            <w:pPr>
              <w:tabs>
                <w:tab w:val="left" w:pos="0"/>
              </w:tabs>
              <w:spacing w:line="380" w:lineRule="exact"/>
              <w:jc w:val="center"/>
              <w:rPr>
                <w:rFonts w:ascii="仿宋" w:hAnsi="仿宋" w:eastAsia="仿宋" w:cs="仿宋"/>
                <w:bCs/>
                <w:color w:val="000000" w:themeColor="text1"/>
                <w:kern w:val="0"/>
                <w:szCs w:val="21"/>
              </w:rPr>
            </w:pPr>
            <w:r>
              <w:rPr>
                <w:rFonts w:hint="eastAsia" w:ascii="仿宋" w:hAnsi="仿宋" w:eastAsia="仿宋" w:cs="仿宋"/>
                <w:bCs/>
                <w:color w:val="000000" w:themeColor="text1"/>
                <w:kern w:val="0"/>
                <w:szCs w:val="21"/>
              </w:rPr>
              <w:t>服务能力及业绩（建设工程类）</w:t>
            </w:r>
          </w:p>
        </w:tc>
        <w:tc>
          <w:tcPr>
            <w:tcW w:w="984" w:type="pct"/>
            <w:vMerge w:val="restart"/>
            <w:vAlign w:val="center"/>
          </w:tcPr>
          <w:p>
            <w:pPr>
              <w:tabs>
                <w:tab w:val="left" w:pos="0"/>
              </w:tabs>
              <w:spacing w:line="380" w:lineRule="exact"/>
              <w:jc w:val="center"/>
              <w:rPr>
                <w:rFonts w:ascii="仿宋" w:hAnsi="仿宋" w:eastAsia="仿宋" w:cs="仿宋"/>
                <w:bCs/>
                <w:color w:val="000000" w:themeColor="text1"/>
                <w:kern w:val="0"/>
                <w:szCs w:val="21"/>
              </w:rPr>
            </w:pPr>
            <w:r>
              <w:rPr>
                <w:rFonts w:hint="eastAsia" w:ascii="仿宋" w:hAnsi="仿宋" w:eastAsia="仿宋" w:cs="仿宋"/>
                <w:bCs/>
                <w:color w:val="000000" w:themeColor="text1"/>
                <w:kern w:val="0"/>
                <w:szCs w:val="21"/>
              </w:rPr>
              <w:t>16.5分</w:t>
            </w:r>
          </w:p>
        </w:tc>
        <w:tc>
          <w:tcPr>
            <w:tcW w:w="2912" w:type="pct"/>
            <w:vMerge w:val="restart"/>
            <w:vAlign w:val="center"/>
          </w:tcPr>
          <w:p>
            <w:pPr>
              <w:numPr>
                <w:ilvl w:val="0"/>
                <w:numId w:val="0"/>
              </w:numPr>
              <w:spacing w:line="380" w:lineRule="exact"/>
              <w:ind w:left="30" w:leftChars="0"/>
              <w:rPr>
                <w:rFonts w:ascii="仿宋" w:hAnsi="仿宋" w:eastAsia="仿宋" w:cs="仿宋"/>
                <w:bCs/>
                <w:color w:val="000000" w:themeColor="text1"/>
                <w:kern w:val="0"/>
                <w:szCs w:val="21"/>
              </w:rPr>
            </w:pPr>
            <w:r>
              <w:rPr>
                <w:rFonts w:hint="eastAsia" w:ascii="仿宋" w:hAnsi="仿宋" w:eastAsia="仿宋" w:cs="仿宋"/>
                <w:bCs/>
                <w:color w:val="000000" w:themeColor="text1"/>
                <w:kern w:val="0"/>
                <w:szCs w:val="21"/>
                <w:lang w:val="en-US" w:eastAsia="zh-CN"/>
              </w:rPr>
              <w:t>1.</w:t>
            </w:r>
            <w:r>
              <w:rPr>
                <w:rFonts w:hint="eastAsia" w:ascii="仿宋" w:hAnsi="仿宋" w:eastAsia="仿宋" w:cs="仿宋"/>
                <w:bCs/>
                <w:color w:val="000000" w:themeColor="text1"/>
                <w:kern w:val="0"/>
                <w:szCs w:val="21"/>
              </w:rPr>
              <w:t>服务团队责任律师为律协房地产与建筑工程专业委员会委员的，每人0.5分，此项满分1.5分；</w:t>
            </w:r>
          </w:p>
          <w:p>
            <w:pPr>
              <w:widowControl/>
              <w:spacing w:line="380" w:lineRule="exact"/>
              <w:jc w:val="left"/>
              <w:rPr>
                <w:rFonts w:hint="eastAsia" w:ascii="仿宋" w:hAnsi="仿宋" w:eastAsia="仿宋" w:cs="仿宋"/>
                <w:bCs/>
                <w:color w:val="000000" w:themeColor="text1"/>
                <w:kern w:val="0"/>
                <w:szCs w:val="21"/>
                <w:lang w:eastAsia="zh-CN"/>
              </w:rPr>
            </w:pPr>
            <w:r>
              <w:rPr>
                <w:rFonts w:hint="eastAsia" w:ascii="仿宋" w:hAnsi="仿宋" w:eastAsia="仿宋" w:cs="仿宋"/>
                <w:bCs/>
                <w:color w:val="000000" w:themeColor="text1"/>
                <w:kern w:val="0"/>
                <w:szCs w:val="21"/>
              </w:rPr>
              <w:t>2.近三年服务团队律师（尤其是责任律师）代理或经办的建设工程类纠纷案件概况，每个案例0.3分，此项满分9分（集体诉讼类案件按1个案例计算）；（需提供案件列表清单（格式自拟）和案件真实性承诺书，承诺“所列案件真实，采购人签认合同前有权要求投标人提供案件判决书等证明材料进行核实，如无法证实其真实性，采购人有权拒绝签订合同，投标人后果自负”）</w:t>
            </w:r>
            <w:r>
              <w:rPr>
                <w:rFonts w:hint="eastAsia" w:ascii="仿宋" w:hAnsi="仿宋" w:eastAsia="仿宋" w:cs="仿宋"/>
                <w:bCs/>
                <w:color w:val="000000" w:themeColor="text1"/>
                <w:kern w:val="0"/>
                <w:szCs w:val="21"/>
                <w:lang w:eastAsia="zh-CN"/>
              </w:rPr>
              <w:t>，</w:t>
            </w:r>
            <w:r>
              <w:rPr>
                <w:rFonts w:hint="eastAsia" w:ascii="仿宋" w:hAnsi="仿宋" w:eastAsia="仿宋" w:cs="仿宋"/>
                <w:bCs/>
                <w:color w:val="000000" w:themeColor="text1"/>
                <w:kern w:val="0"/>
                <w:szCs w:val="21"/>
                <w:lang w:val="en-US" w:eastAsia="zh-CN"/>
              </w:rPr>
              <w:t>清单及承诺书</w:t>
            </w:r>
            <w:r>
              <w:rPr>
                <w:rFonts w:hint="eastAsia" w:ascii="仿宋" w:hAnsi="仿宋" w:eastAsia="仿宋" w:cs="仿宋"/>
                <w:bCs/>
                <w:color w:val="000000" w:themeColor="text1"/>
                <w:kern w:val="0"/>
                <w:szCs w:val="21"/>
              </w:rPr>
              <w:t>二者缺一未提供不得分</w:t>
            </w:r>
            <w:r>
              <w:rPr>
                <w:rFonts w:hint="eastAsia" w:ascii="仿宋" w:hAnsi="仿宋" w:eastAsia="仿宋" w:cs="仿宋"/>
                <w:bCs/>
                <w:color w:val="000000" w:themeColor="text1"/>
                <w:kern w:val="0"/>
                <w:szCs w:val="21"/>
                <w:lang w:eastAsia="zh-CN"/>
              </w:rPr>
              <w:t>；</w:t>
            </w:r>
          </w:p>
          <w:p>
            <w:pPr>
              <w:spacing w:line="380" w:lineRule="exact"/>
              <w:ind w:firstLine="31" w:firstLineChars="15"/>
              <w:rPr>
                <w:rFonts w:ascii="仿宋" w:hAnsi="仿宋" w:eastAsia="仿宋" w:cs="仿宋"/>
                <w:bCs/>
                <w:color w:val="000000" w:themeColor="text1"/>
                <w:kern w:val="0"/>
                <w:szCs w:val="21"/>
              </w:rPr>
            </w:pPr>
            <w:r>
              <w:rPr>
                <w:rFonts w:hint="eastAsia" w:ascii="仿宋" w:hAnsi="仿宋" w:eastAsia="仿宋" w:cs="仿宋"/>
                <w:bCs/>
                <w:color w:val="000000" w:themeColor="text1"/>
                <w:kern w:val="0"/>
                <w:szCs w:val="21"/>
              </w:rPr>
              <w:t>3.近三年服务团队责任律师承担建设工程相关单位的法律顾问经验（每个单位0.3分，需提供合同</w:t>
            </w:r>
            <w:r>
              <w:rPr>
                <w:rFonts w:hint="eastAsia" w:ascii="仿宋" w:hAnsi="仿宋" w:eastAsia="仿宋" w:cs="仿宋"/>
                <w:bCs/>
                <w:color w:val="000000" w:themeColor="text1"/>
                <w:kern w:val="0"/>
                <w:szCs w:val="21"/>
                <w:lang w:eastAsia="zh-CN"/>
              </w:rPr>
              <w:t>、</w:t>
            </w:r>
            <w:r>
              <w:rPr>
                <w:rFonts w:hint="eastAsia" w:ascii="仿宋" w:hAnsi="仿宋" w:eastAsia="仿宋" w:cs="仿宋"/>
                <w:bCs/>
                <w:color w:val="000000" w:themeColor="text1"/>
                <w:kern w:val="0"/>
                <w:szCs w:val="21"/>
                <w:lang w:val="en-US" w:eastAsia="zh-CN"/>
              </w:rPr>
              <w:t>协议、聘书</w:t>
            </w:r>
            <w:r>
              <w:rPr>
                <w:rFonts w:hint="eastAsia" w:ascii="仿宋" w:hAnsi="仿宋" w:eastAsia="仿宋" w:cs="仿宋"/>
                <w:bCs/>
                <w:color w:val="000000" w:themeColor="text1"/>
                <w:kern w:val="0"/>
                <w:szCs w:val="21"/>
              </w:rPr>
              <w:t>复印件加盖公章作为证明材料，此项满分6分）。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35" w:hRule="atLeast"/>
        </w:trPr>
        <w:tc>
          <w:tcPr>
            <w:tcW w:w="406" w:type="pct"/>
            <w:vMerge w:val="continue"/>
            <w:vAlign w:val="center"/>
          </w:tcPr>
          <w:p>
            <w:pPr>
              <w:tabs>
                <w:tab w:val="left" w:pos="0"/>
              </w:tabs>
              <w:spacing w:line="380" w:lineRule="exact"/>
              <w:jc w:val="center"/>
              <w:rPr>
                <w:rFonts w:hint="eastAsia" w:ascii="仿宋" w:hAnsi="仿宋" w:eastAsia="仿宋" w:cs="仿宋"/>
                <w:bCs/>
                <w:color w:val="000000" w:themeColor="text1"/>
                <w:kern w:val="0"/>
                <w:szCs w:val="21"/>
              </w:rPr>
            </w:pPr>
          </w:p>
        </w:tc>
        <w:tc>
          <w:tcPr>
            <w:tcW w:w="696" w:type="pct"/>
            <w:vMerge w:val="continue"/>
            <w:vAlign w:val="center"/>
          </w:tcPr>
          <w:p>
            <w:pPr>
              <w:tabs>
                <w:tab w:val="left" w:pos="0"/>
              </w:tabs>
              <w:spacing w:line="380" w:lineRule="exact"/>
              <w:jc w:val="center"/>
              <w:rPr>
                <w:rFonts w:hint="eastAsia" w:ascii="仿宋" w:hAnsi="仿宋" w:eastAsia="仿宋" w:cs="仿宋"/>
                <w:bCs/>
                <w:color w:val="000000" w:themeColor="text1"/>
                <w:kern w:val="0"/>
                <w:szCs w:val="21"/>
              </w:rPr>
            </w:pPr>
          </w:p>
        </w:tc>
        <w:tc>
          <w:tcPr>
            <w:tcW w:w="984" w:type="pct"/>
            <w:vMerge w:val="continue"/>
            <w:vAlign w:val="center"/>
          </w:tcPr>
          <w:p>
            <w:pPr>
              <w:tabs>
                <w:tab w:val="left" w:pos="0"/>
              </w:tabs>
              <w:spacing w:line="380" w:lineRule="exact"/>
              <w:jc w:val="center"/>
              <w:rPr>
                <w:rFonts w:hint="eastAsia" w:ascii="仿宋" w:hAnsi="仿宋" w:eastAsia="仿宋" w:cs="仿宋"/>
                <w:bCs/>
                <w:color w:val="000000" w:themeColor="text1"/>
                <w:kern w:val="0"/>
                <w:szCs w:val="21"/>
              </w:rPr>
            </w:pPr>
          </w:p>
        </w:tc>
        <w:tc>
          <w:tcPr>
            <w:tcW w:w="2912" w:type="pct"/>
            <w:vMerge w:val="continue"/>
            <w:vAlign w:val="center"/>
          </w:tcPr>
          <w:p>
            <w:pPr>
              <w:numPr>
                <w:ilvl w:val="0"/>
                <w:numId w:val="2"/>
              </w:numPr>
              <w:spacing w:line="380" w:lineRule="exact"/>
              <w:rPr>
                <w:rFonts w:hint="eastAsia" w:ascii="仿宋" w:hAnsi="仿宋" w:eastAsia="仿宋" w:cs="仿宋"/>
                <w:bCs/>
                <w:color w:val="000000" w:themeColor="text1"/>
                <w:kern w:val="0"/>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406" w:type="pct"/>
            <w:vMerge w:val="continue"/>
            <w:vAlign w:val="center"/>
          </w:tcPr>
          <w:p>
            <w:pPr>
              <w:tabs>
                <w:tab w:val="left" w:pos="0"/>
              </w:tabs>
              <w:spacing w:line="380" w:lineRule="exact"/>
              <w:jc w:val="center"/>
              <w:rPr>
                <w:rFonts w:hint="eastAsia" w:ascii="仿宋" w:hAnsi="仿宋" w:eastAsia="仿宋" w:cs="仿宋"/>
                <w:bCs/>
                <w:color w:val="000000" w:themeColor="text1"/>
                <w:kern w:val="0"/>
                <w:szCs w:val="21"/>
              </w:rPr>
            </w:pPr>
          </w:p>
        </w:tc>
        <w:tc>
          <w:tcPr>
            <w:tcW w:w="696" w:type="pct"/>
            <w:vMerge w:val="continue"/>
            <w:vAlign w:val="center"/>
          </w:tcPr>
          <w:p>
            <w:pPr>
              <w:tabs>
                <w:tab w:val="left" w:pos="0"/>
              </w:tabs>
              <w:spacing w:line="380" w:lineRule="exact"/>
              <w:jc w:val="center"/>
              <w:rPr>
                <w:rFonts w:hint="eastAsia" w:ascii="仿宋" w:hAnsi="仿宋" w:eastAsia="仿宋" w:cs="仿宋"/>
                <w:bCs/>
                <w:color w:val="000000" w:themeColor="text1"/>
                <w:kern w:val="0"/>
                <w:szCs w:val="21"/>
              </w:rPr>
            </w:pPr>
          </w:p>
        </w:tc>
        <w:tc>
          <w:tcPr>
            <w:tcW w:w="984" w:type="pct"/>
            <w:vMerge w:val="continue"/>
            <w:vAlign w:val="center"/>
          </w:tcPr>
          <w:p>
            <w:pPr>
              <w:tabs>
                <w:tab w:val="left" w:pos="0"/>
              </w:tabs>
              <w:spacing w:line="380" w:lineRule="exact"/>
              <w:jc w:val="center"/>
              <w:rPr>
                <w:rFonts w:hint="eastAsia" w:ascii="仿宋" w:hAnsi="仿宋" w:eastAsia="仿宋" w:cs="仿宋"/>
                <w:bCs/>
                <w:color w:val="000000" w:themeColor="text1"/>
                <w:kern w:val="0"/>
                <w:szCs w:val="21"/>
              </w:rPr>
            </w:pPr>
          </w:p>
        </w:tc>
        <w:tc>
          <w:tcPr>
            <w:tcW w:w="2912" w:type="pct"/>
            <w:vMerge w:val="continue"/>
            <w:vAlign w:val="center"/>
          </w:tcPr>
          <w:p>
            <w:pPr>
              <w:numPr>
                <w:ilvl w:val="0"/>
                <w:numId w:val="2"/>
              </w:numPr>
              <w:spacing w:line="380" w:lineRule="exact"/>
              <w:rPr>
                <w:rFonts w:hint="eastAsia" w:ascii="仿宋" w:hAnsi="仿宋" w:eastAsia="仿宋" w:cs="仿宋"/>
                <w:bCs/>
                <w:color w:val="000000" w:themeColor="text1"/>
                <w:kern w:val="0"/>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4" w:hRule="atLeast"/>
        </w:trPr>
        <w:tc>
          <w:tcPr>
            <w:tcW w:w="406" w:type="pct"/>
            <w:vAlign w:val="center"/>
          </w:tcPr>
          <w:p>
            <w:pPr>
              <w:tabs>
                <w:tab w:val="left" w:pos="0"/>
              </w:tabs>
              <w:spacing w:line="380" w:lineRule="exact"/>
              <w:jc w:val="center"/>
              <w:rPr>
                <w:rFonts w:ascii="仿宋" w:hAnsi="仿宋" w:eastAsia="仿宋" w:cs="仿宋"/>
                <w:bCs/>
                <w:color w:val="000000" w:themeColor="text1"/>
                <w:kern w:val="0"/>
                <w:szCs w:val="21"/>
              </w:rPr>
            </w:pPr>
            <w:r>
              <w:rPr>
                <w:rFonts w:hint="eastAsia" w:ascii="仿宋" w:hAnsi="仿宋" w:eastAsia="仿宋" w:cs="仿宋"/>
                <w:bCs/>
                <w:color w:val="000000" w:themeColor="text1"/>
                <w:kern w:val="0"/>
                <w:szCs w:val="21"/>
              </w:rPr>
              <w:t>6</w:t>
            </w:r>
          </w:p>
        </w:tc>
        <w:tc>
          <w:tcPr>
            <w:tcW w:w="696" w:type="pct"/>
            <w:vAlign w:val="center"/>
          </w:tcPr>
          <w:p>
            <w:pPr>
              <w:tabs>
                <w:tab w:val="left" w:pos="0"/>
              </w:tabs>
              <w:spacing w:line="380" w:lineRule="exact"/>
              <w:jc w:val="center"/>
              <w:rPr>
                <w:rFonts w:ascii="仿宋" w:hAnsi="仿宋" w:eastAsia="仿宋" w:cs="仿宋"/>
                <w:bCs/>
                <w:color w:val="000000" w:themeColor="text1"/>
                <w:kern w:val="0"/>
                <w:szCs w:val="21"/>
              </w:rPr>
            </w:pPr>
            <w:r>
              <w:rPr>
                <w:rFonts w:hint="eastAsia" w:ascii="仿宋" w:hAnsi="仿宋" w:eastAsia="仿宋" w:cs="仿宋"/>
                <w:bCs/>
                <w:color w:val="000000" w:themeColor="text1"/>
                <w:kern w:val="0"/>
                <w:szCs w:val="21"/>
              </w:rPr>
              <w:t>服务方案</w:t>
            </w:r>
          </w:p>
        </w:tc>
        <w:tc>
          <w:tcPr>
            <w:tcW w:w="984" w:type="pct"/>
            <w:vAlign w:val="center"/>
          </w:tcPr>
          <w:p>
            <w:pPr>
              <w:tabs>
                <w:tab w:val="left" w:pos="0"/>
              </w:tabs>
              <w:spacing w:line="380" w:lineRule="exact"/>
              <w:jc w:val="center"/>
              <w:rPr>
                <w:rFonts w:ascii="仿宋" w:hAnsi="仿宋" w:eastAsia="仿宋" w:cs="仿宋"/>
                <w:bCs/>
                <w:color w:val="000000" w:themeColor="text1"/>
                <w:kern w:val="0"/>
                <w:szCs w:val="21"/>
              </w:rPr>
            </w:pPr>
            <w:r>
              <w:rPr>
                <w:rFonts w:hint="eastAsia" w:ascii="仿宋" w:hAnsi="仿宋" w:eastAsia="仿宋" w:cs="仿宋"/>
                <w:bCs/>
                <w:color w:val="000000" w:themeColor="text1"/>
                <w:kern w:val="0"/>
                <w:szCs w:val="21"/>
              </w:rPr>
              <w:t>26分</w:t>
            </w:r>
          </w:p>
        </w:tc>
        <w:tc>
          <w:tcPr>
            <w:tcW w:w="2912" w:type="pct"/>
          </w:tcPr>
          <w:p>
            <w:pPr>
              <w:widowControl/>
              <w:spacing w:line="380" w:lineRule="exact"/>
              <w:jc w:val="left"/>
              <w:rPr>
                <w:rFonts w:ascii="仿宋" w:hAnsi="仿宋" w:eastAsia="仿宋" w:cs="仿宋"/>
                <w:bCs/>
                <w:color w:val="000000" w:themeColor="text1"/>
                <w:kern w:val="0"/>
                <w:szCs w:val="21"/>
              </w:rPr>
            </w:pPr>
            <w:r>
              <w:rPr>
                <w:rFonts w:hint="eastAsia" w:ascii="仿宋" w:hAnsi="仿宋" w:eastAsia="仿宋" w:cs="仿宋"/>
                <w:bCs/>
                <w:color w:val="000000" w:themeColor="text1"/>
                <w:kern w:val="0"/>
                <w:szCs w:val="21"/>
              </w:rPr>
              <w:t>根据服务方案的完整性、可行性、适宜性，相比较打分，包括但不限于以下项目：</w:t>
            </w:r>
          </w:p>
          <w:p>
            <w:pPr>
              <w:widowControl/>
              <w:numPr>
                <w:ilvl w:val="0"/>
                <w:numId w:val="3"/>
              </w:numPr>
              <w:spacing w:line="380" w:lineRule="exact"/>
              <w:jc w:val="left"/>
              <w:rPr>
                <w:rFonts w:ascii="仿宋" w:hAnsi="仿宋" w:eastAsia="仿宋" w:cs="仿宋"/>
                <w:bCs/>
                <w:color w:val="000000" w:themeColor="text1"/>
                <w:kern w:val="0"/>
                <w:szCs w:val="21"/>
              </w:rPr>
            </w:pPr>
            <w:r>
              <w:rPr>
                <w:rFonts w:hint="eastAsia" w:ascii="仿宋" w:hAnsi="仿宋" w:eastAsia="仿宋" w:cs="仿宋"/>
                <w:bCs/>
                <w:color w:val="000000" w:themeColor="text1"/>
                <w:kern w:val="0"/>
                <w:szCs w:val="21"/>
              </w:rPr>
              <w:t>工作总体思路以及保障措施；</w:t>
            </w:r>
          </w:p>
          <w:p>
            <w:pPr>
              <w:widowControl/>
              <w:numPr>
                <w:ilvl w:val="0"/>
                <w:numId w:val="3"/>
              </w:numPr>
              <w:spacing w:line="380" w:lineRule="exact"/>
              <w:jc w:val="left"/>
              <w:rPr>
                <w:rFonts w:ascii="仿宋" w:hAnsi="仿宋" w:eastAsia="仿宋" w:cs="仿宋"/>
                <w:bCs/>
                <w:color w:val="000000" w:themeColor="text1"/>
                <w:kern w:val="0"/>
                <w:szCs w:val="21"/>
              </w:rPr>
            </w:pPr>
            <w:r>
              <w:rPr>
                <w:rFonts w:hint="eastAsia" w:ascii="仿宋" w:hAnsi="仿宋" w:eastAsia="仿宋" w:cs="仿宋"/>
                <w:bCs/>
                <w:color w:val="000000" w:themeColor="text1"/>
                <w:kern w:val="0"/>
                <w:szCs w:val="21"/>
              </w:rPr>
              <w:t>法律顾问服务流程；</w:t>
            </w:r>
          </w:p>
          <w:p>
            <w:pPr>
              <w:widowControl/>
              <w:numPr>
                <w:ilvl w:val="0"/>
                <w:numId w:val="3"/>
              </w:numPr>
              <w:spacing w:line="380" w:lineRule="exact"/>
              <w:jc w:val="left"/>
              <w:rPr>
                <w:rFonts w:ascii="仿宋" w:hAnsi="仿宋" w:eastAsia="仿宋" w:cs="仿宋"/>
                <w:bCs/>
                <w:color w:val="000000" w:themeColor="text1"/>
                <w:kern w:val="0"/>
                <w:szCs w:val="21"/>
              </w:rPr>
            </w:pPr>
            <w:r>
              <w:rPr>
                <w:rFonts w:hint="eastAsia" w:ascii="仿宋" w:hAnsi="仿宋" w:eastAsia="仿宋" w:cs="仿宋"/>
                <w:bCs/>
                <w:color w:val="000000" w:themeColor="text1"/>
                <w:kern w:val="0"/>
                <w:szCs w:val="21"/>
              </w:rPr>
              <w:t>综合团队服务能力、专人对接承诺及响应能力；</w:t>
            </w:r>
          </w:p>
          <w:p>
            <w:pPr>
              <w:widowControl/>
              <w:numPr>
                <w:ilvl w:val="0"/>
                <w:numId w:val="3"/>
              </w:numPr>
              <w:spacing w:line="380" w:lineRule="exact"/>
              <w:jc w:val="left"/>
              <w:rPr>
                <w:rFonts w:hint="eastAsia" w:ascii="仿宋" w:hAnsi="仿宋" w:eastAsia="仿宋" w:cs="仿宋"/>
                <w:bCs/>
                <w:color w:val="000000" w:themeColor="text1"/>
                <w:kern w:val="0"/>
                <w:szCs w:val="21"/>
              </w:rPr>
            </w:pPr>
            <w:r>
              <w:rPr>
                <w:rFonts w:hint="eastAsia" w:ascii="仿宋" w:hAnsi="仿宋" w:eastAsia="仿宋" w:cs="仿宋"/>
                <w:bCs/>
                <w:color w:val="000000" w:themeColor="text1"/>
                <w:kern w:val="0"/>
                <w:szCs w:val="21"/>
              </w:rPr>
              <w:t>法律专项服务工作流程及期限承诺；</w:t>
            </w:r>
          </w:p>
          <w:p>
            <w:pPr>
              <w:widowControl/>
              <w:numPr>
                <w:ilvl w:val="0"/>
                <w:numId w:val="3"/>
              </w:numPr>
              <w:spacing w:line="380" w:lineRule="exact"/>
              <w:jc w:val="left"/>
              <w:rPr>
                <w:rFonts w:ascii="仿宋" w:hAnsi="仿宋" w:eastAsia="仿宋" w:cs="仿宋"/>
                <w:bCs/>
                <w:color w:val="000000" w:themeColor="text1"/>
                <w:kern w:val="0"/>
                <w:szCs w:val="21"/>
              </w:rPr>
            </w:pPr>
            <w:r>
              <w:rPr>
                <w:rFonts w:hint="eastAsia" w:ascii="仿宋" w:hAnsi="仿宋" w:eastAsia="仿宋" w:cs="仿宋"/>
                <w:bCs/>
                <w:color w:val="000000" w:themeColor="text1"/>
                <w:kern w:val="0"/>
                <w:szCs w:val="21"/>
              </w:rPr>
              <w:t>我司有利于本项目开展的社会资源概况简述。</w:t>
            </w:r>
          </w:p>
          <w:p>
            <w:pPr>
              <w:widowControl/>
              <w:spacing w:line="380" w:lineRule="exact"/>
              <w:jc w:val="left"/>
              <w:rPr>
                <w:rFonts w:ascii="仿宋" w:hAnsi="仿宋" w:eastAsia="仿宋" w:cs="仿宋"/>
                <w:bCs/>
                <w:color w:val="000000" w:themeColor="text1"/>
                <w:kern w:val="0"/>
                <w:szCs w:val="21"/>
              </w:rPr>
            </w:pPr>
            <w:r>
              <w:rPr>
                <w:rFonts w:hint="eastAsia" w:ascii="仿宋" w:hAnsi="仿宋" w:eastAsia="仿宋" w:cs="仿宋"/>
                <w:bCs/>
                <w:color w:val="000000" w:themeColor="text1"/>
                <w:kern w:val="0"/>
                <w:szCs w:val="21"/>
              </w:rPr>
              <w:t>此项满分26分，评分分为三档</w:t>
            </w:r>
          </w:p>
          <w:p>
            <w:pPr>
              <w:widowControl/>
              <w:spacing w:line="380" w:lineRule="exact"/>
              <w:jc w:val="left"/>
              <w:rPr>
                <w:rFonts w:ascii="仿宋" w:hAnsi="仿宋" w:eastAsia="仿宋" w:cs="仿宋"/>
                <w:bCs/>
                <w:color w:val="000000" w:themeColor="text1"/>
                <w:kern w:val="0"/>
                <w:szCs w:val="21"/>
              </w:rPr>
            </w:pPr>
            <w:r>
              <w:rPr>
                <w:rFonts w:hint="eastAsia" w:ascii="仿宋" w:hAnsi="仿宋" w:eastAsia="仿宋" w:cs="仿宋"/>
                <w:bCs/>
                <w:color w:val="000000" w:themeColor="text1"/>
                <w:kern w:val="0"/>
                <w:szCs w:val="21"/>
              </w:rPr>
              <w:t>一档（9分）评定范围为：方案基本符合项目要求，服务方案内容简单，综合评定一般；</w:t>
            </w:r>
          </w:p>
          <w:p>
            <w:pPr>
              <w:widowControl/>
              <w:spacing w:line="380" w:lineRule="exact"/>
              <w:jc w:val="left"/>
              <w:rPr>
                <w:rFonts w:ascii="仿宋" w:hAnsi="仿宋" w:eastAsia="仿宋" w:cs="仿宋"/>
                <w:bCs/>
                <w:color w:val="000000" w:themeColor="text1"/>
                <w:kern w:val="0"/>
                <w:szCs w:val="21"/>
              </w:rPr>
            </w:pPr>
            <w:r>
              <w:rPr>
                <w:rFonts w:hint="eastAsia" w:ascii="仿宋" w:hAnsi="仿宋" w:eastAsia="仿宋" w:cs="仿宋"/>
                <w:bCs/>
                <w:color w:val="000000" w:themeColor="text1"/>
                <w:kern w:val="0"/>
                <w:szCs w:val="21"/>
              </w:rPr>
              <w:t>二档（18分）评定范围为：方案大部分符合项目要求，服务方案内容较详细具体、应对机制较完善，内部防范和控制风险较好，可行性较高，综合评定良好；</w:t>
            </w:r>
          </w:p>
          <w:p>
            <w:pPr>
              <w:widowControl/>
              <w:spacing w:line="380" w:lineRule="exact"/>
              <w:jc w:val="left"/>
              <w:rPr>
                <w:rFonts w:ascii="仿宋" w:hAnsi="仿宋" w:eastAsia="仿宋" w:cs="仿宋"/>
                <w:bCs/>
                <w:color w:val="000000" w:themeColor="text1"/>
                <w:kern w:val="0"/>
                <w:szCs w:val="21"/>
              </w:rPr>
            </w:pPr>
            <w:r>
              <w:rPr>
                <w:rFonts w:hint="eastAsia" w:ascii="仿宋" w:hAnsi="仿宋" w:eastAsia="仿宋" w:cs="仿宋"/>
                <w:bCs/>
                <w:color w:val="000000" w:themeColor="text1"/>
                <w:kern w:val="0"/>
                <w:szCs w:val="21"/>
              </w:rPr>
              <w:t>三档（26分）评定范围为：方案完全符合项目要求，服务方案详细具体、应对机制完善，分析全面并具有可操作性，内部防范和控制风险佳，且可行性高，综合评定优秀。</w:t>
            </w:r>
          </w:p>
        </w:tc>
      </w:tr>
    </w:tbl>
    <w:p>
      <w:pPr>
        <w:spacing w:line="520" w:lineRule="exact"/>
        <w:jc w:val="left"/>
        <w:rPr>
          <w:rFonts w:ascii="仿宋" w:hAnsi="仿宋" w:eastAsia="仿宋" w:cs="仿宋"/>
          <w:sz w:val="28"/>
          <w:szCs w:val="28"/>
        </w:rPr>
      </w:pPr>
    </w:p>
    <w:sectPr>
      <w:footerReference r:id="rId3" w:type="default"/>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8629436"/>
      <w:docPartObj>
        <w:docPartGallery w:val="autotext"/>
      </w:docPartObj>
    </w:sdtPr>
    <w:sdtContent>
      <w:p>
        <w:pPr>
          <w:pStyle w:val="6"/>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DED7CE"/>
    <w:multiLevelType w:val="singleLevel"/>
    <w:tmpl w:val="9BDED7CE"/>
    <w:lvl w:ilvl="0" w:tentative="0">
      <w:start w:val="1"/>
      <w:numFmt w:val="decimal"/>
      <w:suff w:val="nothing"/>
      <w:lvlText w:val="（%1）"/>
      <w:lvlJc w:val="left"/>
    </w:lvl>
  </w:abstractNum>
  <w:abstractNum w:abstractNumId="1">
    <w:nsid w:val="F25F08E0"/>
    <w:multiLevelType w:val="singleLevel"/>
    <w:tmpl w:val="F25F08E0"/>
    <w:lvl w:ilvl="0" w:tentative="0">
      <w:start w:val="1"/>
      <w:numFmt w:val="decimal"/>
      <w:lvlText w:val="%1."/>
      <w:lvlJc w:val="left"/>
      <w:pPr>
        <w:tabs>
          <w:tab w:val="left" w:pos="312"/>
        </w:tabs>
      </w:pPr>
    </w:lvl>
  </w:abstractNum>
  <w:abstractNum w:abstractNumId="2">
    <w:nsid w:val="6F5F03BE"/>
    <w:multiLevelType w:val="singleLevel"/>
    <w:tmpl w:val="6F5F03BE"/>
    <w:lvl w:ilvl="0" w:tentative="0">
      <w:start w:val="1"/>
      <w:numFmt w:val="decimal"/>
      <w:lvlText w:val="%1."/>
      <w:lvlJc w:val="left"/>
      <w:pPr>
        <w:tabs>
          <w:tab w:val="left" w:pos="312"/>
        </w:tabs>
        <w:ind w:left="30" w:firstLine="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ZlZDBkOWNjMWM0YTUxMDI0MWM5ZDMzZGE2Y2I4MzYifQ=="/>
  </w:docVars>
  <w:rsids>
    <w:rsidRoot w:val="4BDF0386"/>
    <w:rsid w:val="00095BA4"/>
    <w:rsid w:val="000B1D3E"/>
    <w:rsid w:val="00134C01"/>
    <w:rsid w:val="00254CE5"/>
    <w:rsid w:val="002816C6"/>
    <w:rsid w:val="002D7169"/>
    <w:rsid w:val="003E23D4"/>
    <w:rsid w:val="00487A9E"/>
    <w:rsid w:val="005165BE"/>
    <w:rsid w:val="005B0438"/>
    <w:rsid w:val="005F579B"/>
    <w:rsid w:val="00654F00"/>
    <w:rsid w:val="00656E8D"/>
    <w:rsid w:val="00744CD2"/>
    <w:rsid w:val="0078064D"/>
    <w:rsid w:val="007F7A6D"/>
    <w:rsid w:val="00801224"/>
    <w:rsid w:val="008B3D98"/>
    <w:rsid w:val="00902C52"/>
    <w:rsid w:val="00932A09"/>
    <w:rsid w:val="009A5D14"/>
    <w:rsid w:val="00A26A4B"/>
    <w:rsid w:val="00A607AF"/>
    <w:rsid w:val="00A96957"/>
    <w:rsid w:val="00B66AC5"/>
    <w:rsid w:val="00B67280"/>
    <w:rsid w:val="00B772E8"/>
    <w:rsid w:val="00BC0889"/>
    <w:rsid w:val="00C27911"/>
    <w:rsid w:val="00CE11C5"/>
    <w:rsid w:val="00D3395E"/>
    <w:rsid w:val="00D65C30"/>
    <w:rsid w:val="00DF54B2"/>
    <w:rsid w:val="00EC554A"/>
    <w:rsid w:val="00ED1CB3"/>
    <w:rsid w:val="00F531F5"/>
    <w:rsid w:val="00F653EE"/>
    <w:rsid w:val="00F97BFB"/>
    <w:rsid w:val="00FF6F6C"/>
    <w:rsid w:val="049371AB"/>
    <w:rsid w:val="05322502"/>
    <w:rsid w:val="093F6115"/>
    <w:rsid w:val="09A655B2"/>
    <w:rsid w:val="09B259BF"/>
    <w:rsid w:val="0C87645B"/>
    <w:rsid w:val="0CE82126"/>
    <w:rsid w:val="10842BA7"/>
    <w:rsid w:val="1387746F"/>
    <w:rsid w:val="14860174"/>
    <w:rsid w:val="193726FE"/>
    <w:rsid w:val="1EBF330F"/>
    <w:rsid w:val="1EC70A67"/>
    <w:rsid w:val="218F1902"/>
    <w:rsid w:val="229B303C"/>
    <w:rsid w:val="288127A6"/>
    <w:rsid w:val="2B6749EC"/>
    <w:rsid w:val="2C574478"/>
    <w:rsid w:val="31091AB9"/>
    <w:rsid w:val="390D1803"/>
    <w:rsid w:val="3C6336A4"/>
    <w:rsid w:val="3D3303D5"/>
    <w:rsid w:val="3D811785"/>
    <w:rsid w:val="3F917A61"/>
    <w:rsid w:val="40BA3CB5"/>
    <w:rsid w:val="430F3CF6"/>
    <w:rsid w:val="435B07B8"/>
    <w:rsid w:val="4666791B"/>
    <w:rsid w:val="47B44151"/>
    <w:rsid w:val="48A4239B"/>
    <w:rsid w:val="4BDF0386"/>
    <w:rsid w:val="4F017AE4"/>
    <w:rsid w:val="54EC3857"/>
    <w:rsid w:val="5ABE4D4B"/>
    <w:rsid w:val="5B312B00"/>
    <w:rsid w:val="5D7406A6"/>
    <w:rsid w:val="603928B5"/>
    <w:rsid w:val="6A855F85"/>
    <w:rsid w:val="6F2A1DC7"/>
    <w:rsid w:val="70BD5C81"/>
    <w:rsid w:val="70CD22D0"/>
    <w:rsid w:val="75CA31AB"/>
    <w:rsid w:val="7B1E3B3E"/>
    <w:rsid w:val="7BB45670"/>
    <w:rsid w:val="7C2428D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link w:val="19"/>
    <w:qFormat/>
    <w:uiPriority w:val="0"/>
    <w:pPr>
      <w:keepNext/>
      <w:keepLines/>
      <w:widowControl/>
      <w:spacing w:before="120" w:after="120" w:line="360" w:lineRule="auto"/>
      <w:jc w:val="center"/>
      <w:outlineLvl w:val="3"/>
    </w:pPr>
    <w:rPr>
      <w:rFonts w:ascii="Arial" w:hAnsi="Arial" w:eastAsia="黑体"/>
      <w:kern w:val="0"/>
      <w:sz w:val="28"/>
      <w:szCs w:val="20"/>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6"/>
    <w:qFormat/>
    <w:uiPriority w:val="0"/>
    <w:pPr>
      <w:jc w:val="left"/>
    </w:pPr>
  </w:style>
  <w:style w:type="paragraph" w:styleId="4">
    <w:name w:val="Plain Text"/>
    <w:basedOn w:val="1"/>
    <w:next w:val="2"/>
    <w:link w:val="20"/>
    <w:qFormat/>
    <w:uiPriority w:val="99"/>
    <w:rPr>
      <w:rFonts w:ascii="宋体" w:hAnsi="Courier New"/>
      <w:kern w:val="0"/>
      <w:sz w:val="20"/>
      <w:szCs w:val="21"/>
    </w:rPr>
  </w:style>
  <w:style w:type="paragraph" w:styleId="5">
    <w:name w:val="Balloon Text"/>
    <w:basedOn w:val="1"/>
    <w:link w:val="18"/>
    <w:qFormat/>
    <w:uiPriority w:val="0"/>
    <w:rPr>
      <w:sz w:val="18"/>
      <w:szCs w:val="18"/>
    </w:rPr>
  </w:style>
  <w:style w:type="paragraph" w:styleId="6">
    <w:name w:val="footer"/>
    <w:basedOn w:val="1"/>
    <w:link w:val="15"/>
    <w:qFormat/>
    <w:uiPriority w:val="99"/>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39"/>
    <w:pPr>
      <w:tabs>
        <w:tab w:val="right" w:leader="dot" w:pos="8296"/>
        <w:tab w:val="right" w:leader="dot" w:pos="8398"/>
      </w:tabs>
      <w:spacing w:before="120" w:after="120" w:line="480" w:lineRule="auto"/>
      <w:ind w:firstLine="1154" w:firstLineChars="412"/>
      <w:jc w:val="left"/>
    </w:pPr>
    <w:rPr>
      <w:rFonts w:ascii="仿宋_GB2312" w:hAnsi="宋体" w:eastAsia="仿宋_GB2312" w:cs="Courier New"/>
      <w:bCs/>
      <w:caps/>
      <w:szCs w:val="21"/>
    </w:rPr>
  </w:style>
  <w:style w:type="paragraph" w:styleId="9">
    <w:name w:val="annotation subject"/>
    <w:basedOn w:val="3"/>
    <w:next w:val="3"/>
    <w:link w:val="17"/>
    <w:uiPriority w:val="0"/>
    <w:rPr>
      <w:b/>
      <w:bCs/>
    </w:rPr>
  </w:style>
  <w:style w:type="table" w:styleId="11">
    <w:name w:val="Table Grid"/>
    <w:basedOn w:val="10"/>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3">
    <w:name w:val="annotation reference"/>
    <w:basedOn w:val="12"/>
    <w:qFormat/>
    <w:uiPriority w:val="0"/>
    <w:rPr>
      <w:sz w:val="21"/>
      <w:szCs w:val="21"/>
    </w:rPr>
  </w:style>
  <w:style w:type="character" w:customStyle="1" w:styleId="14">
    <w:name w:val="页眉 Char"/>
    <w:basedOn w:val="12"/>
    <w:link w:val="7"/>
    <w:qFormat/>
    <w:uiPriority w:val="0"/>
    <w:rPr>
      <w:rFonts w:ascii="Times New Roman" w:hAnsi="Times New Roman" w:eastAsia="宋体" w:cs="Times New Roman"/>
      <w:kern w:val="2"/>
      <w:sz w:val="18"/>
      <w:szCs w:val="18"/>
    </w:rPr>
  </w:style>
  <w:style w:type="character" w:customStyle="1" w:styleId="15">
    <w:name w:val="页脚 Char"/>
    <w:basedOn w:val="12"/>
    <w:link w:val="6"/>
    <w:qFormat/>
    <w:uiPriority w:val="99"/>
    <w:rPr>
      <w:rFonts w:ascii="Times New Roman" w:hAnsi="Times New Roman" w:eastAsia="宋体" w:cs="Times New Roman"/>
      <w:kern w:val="2"/>
      <w:sz w:val="18"/>
      <w:szCs w:val="18"/>
    </w:rPr>
  </w:style>
  <w:style w:type="character" w:customStyle="1" w:styleId="16">
    <w:name w:val="批注文字 Char"/>
    <w:basedOn w:val="12"/>
    <w:link w:val="3"/>
    <w:qFormat/>
    <w:uiPriority w:val="0"/>
    <w:rPr>
      <w:rFonts w:ascii="Times New Roman" w:hAnsi="Times New Roman" w:eastAsia="宋体" w:cs="Times New Roman"/>
      <w:kern w:val="2"/>
      <w:sz w:val="21"/>
      <w:szCs w:val="24"/>
    </w:rPr>
  </w:style>
  <w:style w:type="character" w:customStyle="1" w:styleId="17">
    <w:name w:val="批注主题 Char"/>
    <w:basedOn w:val="16"/>
    <w:link w:val="9"/>
    <w:qFormat/>
    <w:uiPriority w:val="0"/>
    <w:rPr>
      <w:b/>
      <w:bCs/>
    </w:rPr>
  </w:style>
  <w:style w:type="character" w:customStyle="1" w:styleId="18">
    <w:name w:val="批注框文本 Char"/>
    <w:basedOn w:val="12"/>
    <w:link w:val="5"/>
    <w:qFormat/>
    <w:uiPriority w:val="0"/>
    <w:rPr>
      <w:rFonts w:ascii="Times New Roman" w:hAnsi="Times New Roman" w:eastAsia="宋体" w:cs="Times New Roman"/>
      <w:kern w:val="2"/>
      <w:sz w:val="18"/>
      <w:szCs w:val="18"/>
    </w:rPr>
  </w:style>
  <w:style w:type="character" w:customStyle="1" w:styleId="19">
    <w:name w:val="标题 4 Char"/>
    <w:basedOn w:val="12"/>
    <w:link w:val="2"/>
    <w:qFormat/>
    <w:uiPriority w:val="0"/>
    <w:rPr>
      <w:rFonts w:ascii="Arial" w:hAnsi="Arial" w:eastAsia="黑体" w:cs="Times New Roman"/>
      <w:sz w:val="28"/>
    </w:rPr>
  </w:style>
  <w:style w:type="character" w:customStyle="1" w:styleId="20">
    <w:name w:val="纯文本 Char"/>
    <w:basedOn w:val="12"/>
    <w:link w:val="4"/>
    <w:qFormat/>
    <w:uiPriority w:val="99"/>
    <w:rPr>
      <w:rFonts w:ascii="宋体" w:hAnsi="Courier New" w:eastAsia="宋体" w:cs="Times New Roman"/>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6E871A-78C6-4B0E-8B24-C72135F6F9D8}">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1644</Words>
  <Characters>1724</Characters>
  <Lines>41</Lines>
  <Paragraphs>11</Paragraphs>
  <TotalTime>9</TotalTime>
  <ScaleCrop>false</ScaleCrop>
  <LinksUpToDate>false</LinksUpToDate>
  <CharactersWithSpaces>1724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2023-07-05T10:51:00Z</dcterms:created>
  <dc:creator>17</dc:creator>
  <cp:lastModifiedBy>Administrator</cp:lastModifiedBy>
  <cp:lastPrinted>2023-07-12T00:35:00Z</cp:lastPrinted>
  <dcterms:modified xsi:type="dcterms:W3CDTF">2023-07-12T08:15:37Z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081B52F97D2A4CE2A0BEEFE74A82DD65</vt:lpwstr>
  </property>
</Properties>
</file>