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1239C">
      <w:pPr>
        <w:keepNext w:val="0"/>
        <w:keepLines w:val="0"/>
        <w:pageBreakBefore w:val="0"/>
        <w:kinsoku/>
        <w:wordWrap/>
        <w:overflowPunct/>
        <w:topLinePunct w:val="0"/>
        <w:autoSpaceDE/>
        <w:autoSpaceDN/>
        <w:bidi w:val="0"/>
        <w:adjustRightInd/>
        <w:snapToGrid/>
        <w:ind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中山大学附属第一医院广西医院</w:t>
      </w:r>
    </w:p>
    <w:p w14:paraId="09E4C6B3">
      <w:pPr>
        <w:keepNext w:val="0"/>
        <w:keepLines w:val="0"/>
        <w:pageBreakBefore w:val="0"/>
        <w:kinsoku/>
        <w:wordWrap/>
        <w:overflowPunct/>
        <w:topLinePunct w:val="0"/>
        <w:autoSpaceDE/>
        <w:autoSpaceDN/>
        <w:bidi w:val="0"/>
        <w:adjustRightInd/>
        <w:snapToGrid/>
        <w:ind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杂货（洗洁精）类产品供应服务项目采购需求</w:t>
      </w:r>
    </w:p>
    <w:p w14:paraId="7CB4980A">
      <w:pPr>
        <w:numPr>
          <w:ilvl w:val="0"/>
          <w:numId w:val="1"/>
        </w:numPr>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采购品目</w:t>
      </w:r>
    </w:p>
    <w:p w14:paraId="09169BD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w:t>
      </w:r>
    </w:p>
    <w:p w14:paraId="627F176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w:t>
      </w:r>
      <w:r>
        <w:rPr>
          <w:rFonts w:hint="eastAsia" w:ascii="宋体" w:hAnsi="宋体" w:eastAsia="宋体" w:cs="宋体"/>
          <w:color w:val="auto"/>
          <w:sz w:val="32"/>
          <w:szCs w:val="32"/>
          <w:lang w:val="en-US" w:eastAsia="zh-CN"/>
        </w:rPr>
        <w:t>杂货（洗洁精）类产品</w:t>
      </w:r>
      <w:r>
        <w:rPr>
          <w:rFonts w:hint="eastAsia" w:ascii="宋体" w:hAnsi="宋体" w:cs="宋体"/>
          <w:sz w:val="30"/>
          <w:szCs w:val="30"/>
          <w:lang w:val="en-US" w:eastAsia="zh-CN"/>
        </w:rPr>
        <w:t>供应服务</w:t>
      </w:r>
      <w:r>
        <w:rPr>
          <w:rFonts w:hint="eastAsia" w:ascii="宋体" w:hAnsi="宋体" w:eastAsia="宋体" w:cs="宋体"/>
          <w:sz w:val="30"/>
          <w:szCs w:val="30"/>
          <w:lang w:val="en-US" w:eastAsia="zh-CN"/>
        </w:rPr>
        <w:t>-A分标</w:t>
      </w:r>
    </w:p>
    <w:p w14:paraId="742DBC91">
      <w:pPr>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数量：15</w:t>
      </w:r>
    </w:p>
    <w:p w14:paraId="0145249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预算金额（万元）：0.3万元</w:t>
      </w:r>
    </w:p>
    <w:p w14:paraId="573FD544">
      <w:pPr>
        <w:jc w:val="left"/>
        <w:rPr>
          <w:rFonts w:hint="eastAsia" w:ascii="宋体" w:hAnsi="宋体" w:eastAsia="宋体" w:cs="宋体"/>
          <w:sz w:val="24"/>
          <w:szCs w:val="24"/>
          <w:lang w:val="en-US" w:eastAsia="zh-CN"/>
        </w:rPr>
      </w:pPr>
      <w:r>
        <w:rPr>
          <w:rFonts w:hint="eastAsia" w:ascii="宋体" w:hAnsi="宋体" w:eastAsia="宋体" w:cs="宋体"/>
          <w:sz w:val="30"/>
          <w:szCs w:val="30"/>
          <w:lang w:val="en-US" w:eastAsia="zh-CN"/>
        </w:rPr>
        <w:t>简要规格描述或项目基本概况介绍、用途：日常清洁用品、消毒水等一批详见采购需求一览表</w:t>
      </w:r>
      <w:r>
        <w:rPr>
          <w:rFonts w:hint="eastAsia" w:ascii="宋体" w:hAnsi="宋体" w:eastAsia="宋体" w:cs="宋体"/>
          <w:sz w:val="24"/>
          <w:szCs w:val="24"/>
          <w:lang w:val="en-US" w:eastAsia="zh-CN"/>
        </w:rPr>
        <w:t>。</w:t>
      </w:r>
    </w:p>
    <w:tbl>
      <w:tblPr>
        <w:tblStyle w:val="4"/>
        <w:tblW w:w="91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2325"/>
        <w:gridCol w:w="1283"/>
        <w:gridCol w:w="862"/>
        <w:gridCol w:w="1654"/>
        <w:gridCol w:w="2388"/>
      </w:tblGrid>
      <w:tr w14:paraId="0183C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5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B8EA">
            <w:pPr>
              <w:keepNext w:val="0"/>
              <w:keepLines w:val="0"/>
              <w:widowControl/>
              <w:suppressLineNumbers w:val="0"/>
              <w:spacing w:line="400" w:lineRule="exact"/>
              <w:jc w:val="center"/>
              <w:textAlignment w:val="center"/>
              <w:rPr>
                <w:rFonts w:hint="eastAsia" w:ascii="宋体" w:hAnsi="宋体" w:eastAsia="宋体" w:cs="宋体"/>
                <w:b w:val="0"/>
                <w:bCs w:val="0"/>
                <w:color w:val="auto"/>
                <w:kern w:val="0"/>
                <w:sz w:val="22"/>
                <w:szCs w:val="22"/>
                <w:u w:val="none"/>
                <w:lang w:bidi="ar"/>
              </w:rPr>
            </w:pPr>
            <w:r>
              <w:rPr>
                <w:rFonts w:hint="eastAsia" w:ascii="宋体" w:hAnsi="宋体" w:eastAsia="宋体" w:cs="宋体"/>
                <w:b/>
                <w:bCs/>
                <w:sz w:val="28"/>
                <w:szCs w:val="28"/>
                <w:lang w:val="en-US" w:eastAsia="zh-CN"/>
              </w:rPr>
              <w:t>中山大学附属第一医院广西医院杂货（洗洁精）类产品供应服务需求报价表</w:t>
            </w:r>
          </w:p>
        </w:tc>
      </w:tr>
      <w:tr w14:paraId="59F3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5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E5C9">
            <w:pPr>
              <w:keepNext w:val="0"/>
              <w:keepLines w:val="0"/>
              <w:widowControl/>
              <w:suppressLineNumbers w:val="0"/>
              <w:jc w:val="left"/>
              <w:textAlignment w:val="center"/>
              <w:rPr>
                <w:rFonts w:hint="eastAsia" w:ascii="宋体" w:hAnsi="宋体" w:eastAsia="宋体" w:cs="宋体"/>
                <w:b w:val="0"/>
                <w:bCs w:val="0"/>
                <w:color w:val="auto"/>
                <w:kern w:val="0"/>
                <w:sz w:val="22"/>
                <w:szCs w:val="22"/>
                <w:u w:val="none"/>
                <w:lang w:bidi="ar"/>
              </w:rPr>
            </w:pPr>
            <w:r>
              <w:rPr>
                <w:rFonts w:hint="eastAsia" w:ascii="宋体" w:hAnsi="宋体" w:eastAsia="宋体" w:cs="宋体"/>
                <w:b w:val="0"/>
                <w:bCs w:val="0"/>
                <w:i w:val="0"/>
                <w:iCs w:val="0"/>
                <w:color w:val="000000"/>
                <w:kern w:val="0"/>
                <w:sz w:val="22"/>
                <w:szCs w:val="22"/>
                <w:u w:val="none"/>
                <w:lang w:val="en-US" w:eastAsia="zh-CN" w:bidi="ar"/>
              </w:rPr>
              <w:t>供应商单位名称（加盖公章）：</w:t>
            </w:r>
          </w:p>
        </w:tc>
      </w:tr>
      <w:tr w14:paraId="64CDB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38A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E3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5E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包装规格</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CD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7C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供货价（元）</w:t>
            </w:r>
          </w:p>
        </w:tc>
        <w:tc>
          <w:tcPr>
            <w:tcW w:w="2388" w:type="dxa"/>
            <w:tcBorders>
              <w:top w:val="single" w:color="000000" w:sz="4" w:space="0"/>
              <w:left w:val="single" w:color="000000" w:sz="4" w:space="0"/>
              <w:right w:val="single" w:color="000000" w:sz="4" w:space="0"/>
            </w:tcBorders>
            <w:shd w:val="clear" w:color="auto" w:fill="auto"/>
            <w:noWrap/>
            <w:vAlign w:val="center"/>
          </w:tcPr>
          <w:p w14:paraId="0943F2B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统一下浮系数报价</w:t>
            </w:r>
          </w:p>
          <w:p w14:paraId="44D46E3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color w:val="auto"/>
                <w:kern w:val="0"/>
                <w:sz w:val="22"/>
                <w:szCs w:val="22"/>
                <w:u w:val="none"/>
                <w:lang w:bidi="ar"/>
              </w:rPr>
              <w:t>（最终单价报价=各</w:t>
            </w:r>
            <w:r>
              <w:rPr>
                <w:rFonts w:hint="eastAsia" w:ascii="宋体" w:hAnsi="宋体" w:eastAsia="宋体" w:cs="宋体"/>
                <w:b/>
                <w:bCs/>
                <w:color w:val="auto"/>
                <w:kern w:val="0"/>
                <w:sz w:val="22"/>
                <w:szCs w:val="22"/>
                <w:u w:val="none"/>
                <w:lang w:val="en-US" w:eastAsia="zh-CN" w:bidi="ar"/>
              </w:rPr>
              <w:t>产品供货价</w:t>
            </w:r>
            <w:r>
              <w:rPr>
                <w:rFonts w:hint="eastAsia" w:ascii="宋体" w:hAnsi="宋体" w:eastAsia="宋体" w:cs="宋体"/>
                <w:b/>
                <w:bCs/>
                <w:color w:val="auto"/>
                <w:kern w:val="0"/>
                <w:sz w:val="22"/>
                <w:szCs w:val="22"/>
                <w:u w:val="none"/>
                <w:lang w:bidi="ar"/>
              </w:rPr>
              <w:t>×（1-</w:t>
            </w:r>
            <w:r>
              <w:rPr>
                <w:rFonts w:hint="eastAsia" w:ascii="宋体" w:hAnsi="宋体" w:eastAsia="宋体" w:cs="宋体"/>
                <w:b/>
                <w:bCs/>
                <w:color w:val="auto"/>
                <w:kern w:val="0"/>
                <w:sz w:val="22"/>
                <w:szCs w:val="22"/>
                <w:u w:val="none"/>
                <w:lang w:val="en-US" w:eastAsia="zh-CN" w:bidi="ar"/>
              </w:rPr>
              <w:t>下浮系数</w:t>
            </w:r>
            <w:r>
              <w:rPr>
                <w:rFonts w:hint="eastAsia" w:ascii="宋体" w:hAnsi="宋体" w:eastAsia="宋体" w:cs="宋体"/>
                <w:b/>
                <w:bCs/>
                <w:color w:val="auto"/>
                <w:kern w:val="0"/>
                <w:sz w:val="22"/>
                <w:szCs w:val="22"/>
                <w:u w:val="none"/>
                <w:lang w:bidi="ar"/>
              </w:rPr>
              <w:t>））</w:t>
            </w:r>
          </w:p>
        </w:tc>
      </w:tr>
      <w:tr w14:paraId="4ED26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187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97F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洗洁精（含量10%）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944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979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86F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w:t>
            </w:r>
          </w:p>
        </w:tc>
        <w:tc>
          <w:tcPr>
            <w:tcW w:w="2388" w:type="dxa"/>
            <w:vMerge w:val="restart"/>
            <w:tcBorders>
              <w:top w:val="single" w:color="000000" w:sz="4" w:space="0"/>
              <w:left w:val="single" w:color="000000" w:sz="4" w:space="0"/>
              <w:right w:val="single" w:color="000000" w:sz="4" w:space="0"/>
            </w:tcBorders>
            <w:shd w:val="clear" w:color="auto" w:fill="auto"/>
            <w:noWrap/>
            <w:vAlign w:val="center"/>
          </w:tcPr>
          <w:p w14:paraId="135903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下浮系数为</w:t>
            </w:r>
            <w:r>
              <w:rPr>
                <w:rFonts w:hint="eastAsia" w:ascii="宋体" w:hAnsi="宋体" w:eastAsia="宋体" w:cs="宋体"/>
                <w:i w:val="0"/>
                <w:iCs w:val="0"/>
                <w:color w:val="auto"/>
                <w:kern w:val="0"/>
                <w:sz w:val="22"/>
                <w:szCs w:val="22"/>
                <w:u w:val="single"/>
                <w:lang w:val="en-US" w:eastAsia="zh-CN" w:bidi="ar"/>
              </w:rPr>
              <w:t xml:space="preserve">     %</w:t>
            </w:r>
          </w:p>
        </w:tc>
      </w:tr>
      <w:tr w14:paraId="60C8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09C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FD8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洗洁精（含量8%）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DDE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33C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4FB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w:t>
            </w:r>
          </w:p>
        </w:tc>
        <w:tc>
          <w:tcPr>
            <w:tcW w:w="2388" w:type="dxa"/>
            <w:vMerge w:val="continue"/>
            <w:tcBorders>
              <w:left w:val="single" w:color="000000" w:sz="4" w:space="0"/>
              <w:right w:val="single" w:color="000000" w:sz="4" w:space="0"/>
            </w:tcBorders>
            <w:shd w:val="clear" w:color="auto" w:fill="auto"/>
            <w:noWrap/>
            <w:vAlign w:val="center"/>
          </w:tcPr>
          <w:p w14:paraId="02597D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3CFE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570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E0A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洗洁精（含量5%）</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A8E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A01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8794">
            <w:pPr>
              <w:keepNext w:val="0"/>
              <w:keepLines w:val="0"/>
              <w:widowControl/>
              <w:suppressLineNumbers w:val="0"/>
              <w:jc w:val="left"/>
              <w:textAlignment w:val="center"/>
              <w:rPr>
                <w:rFonts w:hint="default"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23</w:t>
            </w:r>
          </w:p>
        </w:tc>
        <w:tc>
          <w:tcPr>
            <w:tcW w:w="2388" w:type="dxa"/>
            <w:vMerge w:val="continue"/>
            <w:tcBorders>
              <w:left w:val="single" w:color="000000" w:sz="4" w:space="0"/>
              <w:right w:val="single" w:color="000000" w:sz="4" w:space="0"/>
            </w:tcBorders>
            <w:shd w:val="clear" w:color="auto" w:fill="auto"/>
            <w:noWrap/>
            <w:vAlign w:val="center"/>
          </w:tcPr>
          <w:p w14:paraId="13BDA2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8C7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A82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4A9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漂白消毒水</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2C4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F41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85C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38</w:t>
            </w:r>
          </w:p>
        </w:tc>
        <w:tc>
          <w:tcPr>
            <w:tcW w:w="2388" w:type="dxa"/>
            <w:vMerge w:val="continue"/>
            <w:tcBorders>
              <w:left w:val="single" w:color="000000" w:sz="4" w:space="0"/>
              <w:right w:val="single" w:color="000000" w:sz="4" w:space="0"/>
            </w:tcBorders>
            <w:shd w:val="clear" w:color="auto" w:fill="auto"/>
            <w:noWrap/>
            <w:vAlign w:val="center"/>
          </w:tcPr>
          <w:p w14:paraId="5BC486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763F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D41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B7C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烧碱</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2E9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E35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包</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051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150</w:t>
            </w:r>
          </w:p>
        </w:tc>
        <w:tc>
          <w:tcPr>
            <w:tcW w:w="2388" w:type="dxa"/>
            <w:vMerge w:val="continue"/>
            <w:tcBorders>
              <w:left w:val="single" w:color="000000" w:sz="4" w:space="0"/>
              <w:right w:val="single" w:color="000000" w:sz="4" w:space="0"/>
            </w:tcBorders>
            <w:shd w:val="clear" w:color="auto" w:fill="auto"/>
            <w:noWrap/>
            <w:vAlign w:val="center"/>
          </w:tcPr>
          <w:p w14:paraId="1E1305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352F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4F0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6D0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洗衣粉</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494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189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包</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D4A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2388" w:type="dxa"/>
            <w:vMerge w:val="continue"/>
            <w:tcBorders>
              <w:left w:val="single" w:color="000000" w:sz="4" w:space="0"/>
              <w:right w:val="single" w:color="000000" w:sz="4" w:space="0"/>
            </w:tcBorders>
            <w:shd w:val="clear" w:color="auto" w:fill="auto"/>
            <w:noWrap/>
            <w:vAlign w:val="center"/>
          </w:tcPr>
          <w:p w14:paraId="599355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4765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968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21D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洁厕剂</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B99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927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FF5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2388" w:type="dxa"/>
            <w:vMerge w:val="continue"/>
            <w:tcBorders>
              <w:left w:val="single" w:color="000000" w:sz="4" w:space="0"/>
              <w:right w:val="single" w:color="000000" w:sz="4" w:space="0"/>
            </w:tcBorders>
            <w:shd w:val="clear" w:color="auto" w:fill="auto"/>
            <w:noWrap/>
            <w:vAlign w:val="center"/>
          </w:tcPr>
          <w:p w14:paraId="38A8C5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A809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378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55E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玻璃水</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810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DE3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A82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80</w:t>
            </w:r>
          </w:p>
        </w:tc>
        <w:tc>
          <w:tcPr>
            <w:tcW w:w="2388" w:type="dxa"/>
            <w:vMerge w:val="continue"/>
            <w:tcBorders>
              <w:left w:val="single" w:color="000000" w:sz="4" w:space="0"/>
              <w:right w:val="single" w:color="000000" w:sz="4" w:space="0"/>
            </w:tcBorders>
            <w:shd w:val="clear" w:color="auto" w:fill="auto"/>
            <w:noWrap/>
            <w:vAlign w:val="center"/>
          </w:tcPr>
          <w:p w14:paraId="240BC4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219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8DB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196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草酸</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47AF">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8F5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252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2388" w:type="dxa"/>
            <w:vMerge w:val="continue"/>
            <w:tcBorders>
              <w:left w:val="single" w:color="000000" w:sz="4" w:space="0"/>
              <w:right w:val="single" w:color="000000" w:sz="4" w:space="0"/>
            </w:tcBorders>
            <w:shd w:val="clear" w:color="auto" w:fill="auto"/>
            <w:noWrap/>
            <w:vAlign w:val="center"/>
          </w:tcPr>
          <w:p w14:paraId="465992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8AA4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F4D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698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洗手液</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8FE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508B">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711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80</w:t>
            </w:r>
          </w:p>
        </w:tc>
        <w:tc>
          <w:tcPr>
            <w:tcW w:w="2388" w:type="dxa"/>
            <w:vMerge w:val="continue"/>
            <w:tcBorders>
              <w:left w:val="single" w:color="000000" w:sz="4" w:space="0"/>
              <w:right w:val="single" w:color="000000" w:sz="4" w:space="0"/>
            </w:tcBorders>
            <w:shd w:val="clear" w:color="auto" w:fill="auto"/>
            <w:noWrap/>
            <w:vAlign w:val="center"/>
          </w:tcPr>
          <w:p w14:paraId="7A346F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1B3D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nil"/>
              <w:right w:val="single" w:color="000000" w:sz="4" w:space="0"/>
            </w:tcBorders>
            <w:shd w:val="clear" w:color="auto" w:fill="auto"/>
            <w:noWrap/>
            <w:vAlign w:val="center"/>
          </w:tcPr>
          <w:p w14:paraId="757C58C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11</w:t>
            </w:r>
          </w:p>
        </w:tc>
        <w:tc>
          <w:tcPr>
            <w:tcW w:w="2325" w:type="dxa"/>
            <w:tcBorders>
              <w:top w:val="single" w:color="000000" w:sz="4" w:space="0"/>
              <w:left w:val="single" w:color="000000" w:sz="4" w:space="0"/>
              <w:bottom w:val="nil"/>
              <w:right w:val="single" w:color="000000" w:sz="4" w:space="0"/>
            </w:tcBorders>
            <w:shd w:val="clear" w:color="auto" w:fill="auto"/>
            <w:noWrap/>
            <w:vAlign w:val="center"/>
          </w:tcPr>
          <w:p w14:paraId="0894CFF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工业硫代硫酸钠</w:t>
            </w:r>
          </w:p>
        </w:tc>
        <w:tc>
          <w:tcPr>
            <w:tcW w:w="1283" w:type="dxa"/>
            <w:tcBorders>
              <w:top w:val="single" w:color="000000" w:sz="4" w:space="0"/>
              <w:left w:val="single" w:color="000000" w:sz="4" w:space="0"/>
              <w:bottom w:val="nil"/>
              <w:right w:val="single" w:color="000000" w:sz="4" w:space="0"/>
            </w:tcBorders>
            <w:shd w:val="clear" w:color="auto" w:fill="auto"/>
            <w:noWrap/>
            <w:vAlign w:val="center"/>
          </w:tcPr>
          <w:p w14:paraId="5B410D5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50斤</w:t>
            </w:r>
          </w:p>
        </w:tc>
        <w:tc>
          <w:tcPr>
            <w:tcW w:w="862" w:type="dxa"/>
            <w:tcBorders>
              <w:top w:val="single" w:color="000000" w:sz="4" w:space="0"/>
              <w:left w:val="single" w:color="000000" w:sz="4" w:space="0"/>
              <w:bottom w:val="nil"/>
              <w:right w:val="single" w:color="000000" w:sz="4" w:space="0"/>
            </w:tcBorders>
            <w:shd w:val="clear" w:color="auto" w:fill="auto"/>
            <w:noWrap/>
            <w:vAlign w:val="center"/>
          </w:tcPr>
          <w:p w14:paraId="2DAA21F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包</w:t>
            </w:r>
          </w:p>
        </w:tc>
        <w:tc>
          <w:tcPr>
            <w:tcW w:w="1654" w:type="dxa"/>
            <w:tcBorders>
              <w:top w:val="single" w:color="000000" w:sz="4" w:space="0"/>
              <w:left w:val="single" w:color="000000" w:sz="4" w:space="0"/>
              <w:bottom w:val="nil"/>
              <w:right w:val="single" w:color="000000" w:sz="4" w:space="0"/>
            </w:tcBorders>
            <w:shd w:val="clear" w:color="auto" w:fill="auto"/>
            <w:noWrap/>
            <w:vAlign w:val="center"/>
          </w:tcPr>
          <w:p w14:paraId="21D3F3B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2388" w:type="dxa"/>
            <w:vMerge w:val="continue"/>
            <w:tcBorders>
              <w:left w:val="single" w:color="000000" w:sz="4" w:space="0"/>
              <w:right w:val="single" w:color="000000" w:sz="4" w:space="0"/>
            </w:tcBorders>
            <w:shd w:val="clear" w:color="auto" w:fill="auto"/>
            <w:noWrap/>
            <w:vAlign w:val="center"/>
          </w:tcPr>
          <w:p w14:paraId="7DDE39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C0FC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220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12</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510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地板清洁剂</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B70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7E54">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84B5">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110</w:t>
            </w:r>
          </w:p>
        </w:tc>
        <w:tc>
          <w:tcPr>
            <w:tcW w:w="2388" w:type="dxa"/>
            <w:vMerge w:val="continue"/>
            <w:tcBorders>
              <w:left w:val="single" w:color="000000" w:sz="4" w:space="0"/>
              <w:right w:val="single" w:color="000000" w:sz="4" w:space="0"/>
            </w:tcBorders>
            <w:shd w:val="clear" w:color="auto" w:fill="auto"/>
            <w:noWrap/>
            <w:vAlign w:val="center"/>
          </w:tcPr>
          <w:p w14:paraId="787C9E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133A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6E0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13</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F45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全能清洁剂</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242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77D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582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100</w:t>
            </w:r>
          </w:p>
        </w:tc>
        <w:tc>
          <w:tcPr>
            <w:tcW w:w="2388" w:type="dxa"/>
            <w:vMerge w:val="continue"/>
            <w:tcBorders>
              <w:left w:val="single" w:color="000000" w:sz="4" w:space="0"/>
              <w:right w:val="single" w:color="000000" w:sz="4" w:space="0"/>
            </w:tcBorders>
            <w:shd w:val="clear" w:color="auto" w:fill="auto"/>
            <w:noWrap/>
            <w:vAlign w:val="center"/>
          </w:tcPr>
          <w:p w14:paraId="6270BA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20AE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96B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14</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D942">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油烟净</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AA8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232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979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w:t>
            </w:r>
          </w:p>
        </w:tc>
        <w:tc>
          <w:tcPr>
            <w:tcW w:w="2388" w:type="dxa"/>
            <w:vMerge w:val="continue"/>
            <w:tcBorders>
              <w:left w:val="single" w:color="000000" w:sz="4" w:space="0"/>
              <w:right w:val="single" w:color="000000" w:sz="4" w:space="0"/>
            </w:tcBorders>
            <w:shd w:val="clear" w:color="auto" w:fill="auto"/>
            <w:noWrap/>
            <w:vAlign w:val="center"/>
          </w:tcPr>
          <w:p w14:paraId="09BF55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3430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CCD0">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lang w:val="en-US"/>
              </w:rPr>
            </w:pPr>
            <w:r>
              <w:rPr>
                <w:rFonts w:hint="eastAsia" w:ascii="宋体" w:hAnsi="宋体" w:eastAsia="宋体" w:cs="宋体"/>
                <w:b w:val="0"/>
                <w:bCs w:val="0"/>
                <w:i w:val="0"/>
                <w:iCs w:val="0"/>
                <w:color w:val="000000"/>
                <w:kern w:val="0"/>
                <w:sz w:val="22"/>
                <w:szCs w:val="22"/>
                <w:u w:val="none"/>
                <w:lang w:val="en-US" w:eastAsia="zh-CN" w:bidi="ar"/>
              </w:rPr>
              <w:t>15</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9979">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洗衣液（国标）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A77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40斤</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A03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桶</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BB9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120</w:t>
            </w:r>
          </w:p>
        </w:tc>
        <w:tc>
          <w:tcPr>
            <w:tcW w:w="2388" w:type="dxa"/>
            <w:vMerge w:val="continue"/>
            <w:tcBorders>
              <w:left w:val="single" w:color="000000" w:sz="4" w:space="0"/>
              <w:bottom w:val="single" w:color="000000" w:sz="4" w:space="0"/>
              <w:right w:val="single" w:color="000000" w:sz="4" w:space="0"/>
            </w:tcBorders>
            <w:shd w:val="clear" w:color="auto" w:fill="auto"/>
            <w:noWrap/>
            <w:vAlign w:val="center"/>
          </w:tcPr>
          <w:p w14:paraId="047536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1882ABBD">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注：报价清单必须完整涵盖以上所有产品品目，不允许出现缺项、漏项或代替项。</w:t>
      </w:r>
    </w:p>
    <w:p w14:paraId="566471AD">
      <w:pPr>
        <w:pStyle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01C60CEF">
      <w:pPr>
        <w:pStyle w:val="2"/>
        <w:rPr>
          <w:rFonts w:hint="default" w:ascii="宋体" w:hAnsi="宋体" w:eastAsia="宋体" w:cs="宋体"/>
          <w:color w:val="auto"/>
          <w:kern w:val="2"/>
          <w:sz w:val="24"/>
          <w:szCs w:val="24"/>
          <w:lang w:val="en-US" w:eastAsia="zh-CN" w:bidi="ar-SA"/>
        </w:rPr>
      </w:pPr>
    </w:p>
    <w:p w14:paraId="1D2D118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标项2</w:t>
      </w:r>
    </w:p>
    <w:p w14:paraId="74B1491E">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w:t>
      </w:r>
      <w:r>
        <w:rPr>
          <w:rFonts w:hint="eastAsia" w:ascii="宋体" w:hAnsi="宋体" w:eastAsia="宋体" w:cs="宋体"/>
          <w:color w:val="auto"/>
          <w:sz w:val="32"/>
          <w:szCs w:val="32"/>
          <w:lang w:val="en-US" w:eastAsia="zh-CN"/>
        </w:rPr>
        <w:t>杂货（洗洁精）类产品</w:t>
      </w:r>
      <w:r>
        <w:rPr>
          <w:rFonts w:hint="eastAsia" w:ascii="宋体" w:hAnsi="宋体" w:cs="宋体"/>
          <w:sz w:val="30"/>
          <w:szCs w:val="30"/>
          <w:lang w:val="en-US" w:eastAsia="zh-CN"/>
        </w:rPr>
        <w:t>供应服务</w:t>
      </w:r>
      <w:r>
        <w:rPr>
          <w:rFonts w:hint="eastAsia" w:ascii="宋体" w:hAnsi="宋体" w:eastAsia="宋体" w:cs="宋体"/>
          <w:sz w:val="30"/>
          <w:szCs w:val="30"/>
          <w:lang w:val="en-US" w:eastAsia="zh-CN"/>
        </w:rPr>
        <w:t>-B分标</w:t>
      </w:r>
    </w:p>
    <w:p w14:paraId="416E64A3">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数量：4</w:t>
      </w:r>
    </w:p>
    <w:p w14:paraId="49C6F49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预算金额（万元）：0.3万元</w:t>
      </w:r>
    </w:p>
    <w:p w14:paraId="0AD229B3">
      <w:pPr>
        <w:jc w:val="left"/>
        <w:rPr>
          <w:rFonts w:hint="eastAsia" w:ascii="宋体" w:hAnsi="宋体" w:eastAsia="宋体" w:cs="宋体"/>
          <w:sz w:val="24"/>
          <w:szCs w:val="24"/>
          <w:lang w:val="en-US" w:eastAsia="zh-CN"/>
        </w:rPr>
      </w:pPr>
      <w:r>
        <w:rPr>
          <w:rFonts w:hint="eastAsia" w:ascii="宋体" w:hAnsi="宋体" w:eastAsia="宋体" w:cs="宋体"/>
          <w:sz w:val="30"/>
          <w:szCs w:val="30"/>
          <w:lang w:val="en-US" w:eastAsia="zh-CN"/>
        </w:rPr>
        <w:t>简要规格描述或项目基本概况介绍、用途：洗碗机专用洗洁精等一批详见采购需求一览表</w:t>
      </w:r>
      <w:r>
        <w:rPr>
          <w:rFonts w:hint="eastAsia" w:ascii="宋体" w:hAnsi="宋体" w:eastAsia="宋体" w:cs="宋体"/>
          <w:sz w:val="24"/>
          <w:szCs w:val="24"/>
          <w:lang w:val="en-US"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592"/>
        <w:gridCol w:w="2229"/>
        <w:gridCol w:w="1550"/>
        <w:gridCol w:w="1275"/>
        <w:gridCol w:w="2313"/>
      </w:tblGrid>
      <w:tr w14:paraId="154B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850" w:type="dxa"/>
            <w:gridSpan w:val="6"/>
            <w:shd w:val="clear" w:color="auto" w:fill="auto"/>
            <w:noWrap w:val="0"/>
            <w:vAlign w:val="center"/>
          </w:tcPr>
          <w:p w14:paraId="08D1CFC3">
            <w:pPr>
              <w:keepNext w:val="0"/>
              <w:keepLines w:val="0"/>
              <w:widowControl/>
              <w:suppressLineNumbers w:val="0"/>
              <w:spacing w:line="400" w:lineRule="exact"/>
              <w:jc w:val="center"/>
              <w:textAlignment w:val="center"/>
              <w:rPr>
                <w:rFonts w:hint="eastAsia" w:ascii="宋体" w:hAnsi="宋体" w:eastAsia="宋体" w:cs="宋体"/>
                <w:b w:val="0"/>
                <w:bCs w:val="0"/>
                <w:color w:val="auto"/>
                <w:kern w:val="0"/>
                <w:sz w:val="22"/>
                <w:szCs w:val="22"/>
                <w:u w:val="none"/>
                <w:lang w:val="en-US" w:eastAsia="zh-CN" w:bidi="ar"/>
              </w:rPr>
            </w:pPr>
            <w:r>
              <w:rPr>
                <w:rFonts w:hint="eastAsia" w:ascii="宋体" w:hAnsi="宋体" w:eastAsia="宋体" w:cs="宋体"/>
                <w:b/>
                <w:bCs/>
                <w:sz w:val="28"/>
                <w:szCs w:val="28"/>
                <w:lang w:val="en-US" w:eastAsia="zh-CN"/>
              </w:rPr>
              <w:t>中山大学附属第一医院广西医院杂货（洗洁精）类产品</w:t>
            </w:r>
            <w:bookmarkStart w:id="0" w:name="_GoBack"/>
            <w:bookmarkEnd w:id="0"/>
            <w:r>
              <w:rPr>
                <w:rFonts w:hint="eastAsia" w:ascii="宋体" w:hAnsi="宋体" w:eastAsia="宋体" w:cs="宋体"/>
                <w:b/>
                <w:bCs/>
                <w:sz w:val="28"/>
                <w:szCs w:val="28"/>
                <w:lang w:val="en-US" w:eastAsia="zh-CN"/>
              </w:rPr>
              <w:t>供应服务需求报价表</w:t>
            </w:r>
          </w:p>
        </w:tc>
      </w:tr>
      <w:tr w14:paraId="6369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850" w:type="dxa"/>
            <w:gridSpan w:val="6"/>
            <w:shd w:val="clear" w:color="auto" w:fill="auto"/>
            <w:noWrap w:val="0"/>
            <w:vAlign w:val="center"/>
          </w:tcPr>
          <w:p w14:paraId="5E59344A">
            <w:pPr>
              <w:keepNext w:val="0"/>
              <w:keepLines w:val="0"/>
              <w:widowControl/>
              <w:suppressLineNumbers w:val="0"/>
              <w:jc w:val="left"/>
              <w:textAlignment w:val="center"/>
              <w:rPr>
                <w:rFonts w:hint="eastAsia" w:ascii="宋体" w:hAnsi="宋体" w:eastAsia="宋体" w:cs="宋体"/>
                <w:b w:val="0"/>
                <w:bCs w:val="0"/>
                <w:color w:val="auto"/>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供应商单位名称（加盖公章）：</w:t>
            </w:r>
          </w:p>
        </w:tc>
      </w:tr>
      <w:tr w14:paraId="1271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91" w:type="dxa"/>
            <w:noWrap w:val="0"/>
            <w:vAlign w:val="center"/>
          </w:tcPr>
          <w:p w14:paraId="5F1F46D4">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sz w:val="22"/>
                <w:szCs w:val="22"/>
              </w:rPr>
              <w:t>序号</w:t>
            </w:r>
          </w:p>
        </w:tc>
        <w:tc>
          <w:tcPr>
            <w:tcW w:w="1592" w:type="dxa"/>
            <w:noWrap w:val="0"/>
            <w:vAlign w:val="center"/>
          </w:tcPr>
          <w:p w14:paraId="742A6587">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sz w:val="22"/>
                <w:szCs w:val="22"/>
                <w:lang w:val="en-US" w:eastAsia="zh-CN"/>
              </w:rPr>
              <w:t>产</w:t>
            </w:r>
            <w:r>
              <w:rPr>
                <w:rFonts w:hint="eastAsia" w:ascii="宋体" w:hAnsi="宋体" w:eastAsia="宋体" w:cs="宋体"/>
                <w:b/>
                <w:bCs/>
                <w:sz w:val="22"/>
                <w:szCs w:val="22"/>
              </w:rPr>
              <w:t>品名</w:t>
            </w:r>
            <w:r>
              <w:rPr>
                <w:rFonts w:hint="eastAsia" w:ascii="宋体" w:hAnsi="宋体" w:eastAsia="宋体" w:cs="宋体"/>
                <w:b/>
                <w:bCs/>
                <w:sz w:val="22"/>
                <w:szCs w:val="22"/>
                <w:lang w:val="en-US" w:eastAsia="zh-CN"/>
              </w:rPr>
              <w:t>称</w:t>
            </w:r>
          </w:p>
        </w:tc>
        <w:tc>
          <w:tcPr>
            <w:tcW w:w="2229" w:type="dxa"/>
            <w:noWrap w:val="0"/>
            <w:vAlign w:val="center"/>
          </w:tcPr>
          <w:p w14:paraId="539FDA04">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sz w:val="22"/>
                <w:szCs w:val="22"/>
              </w:rPr>
              <w:t>型号规格</w:t>
            </w:r>
          </w:p>
        </w:tc>
        <w:tc>
          <w:tcPr>
            <w:tcW w:w="1550" w:type="dxa"/>
            <w:noWrap w:val="0"/>
            <w:vAlign w:val="center"/>
          </w:tcPr>
          <w:p w14:paraId="75D41506">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sz w:val="22"/>
                <w:szCs w:val="22"/>
              </w:rPr>
              <w:t>单位</w:t>
            </w:r>
          </w:p>
        </w:tc>
        <w:tc>
          <w:tcPr>
            <w:tcW w:w="1275" w:type="dxa"/>
            <w:noWrap w:val="0"/>
            <w:vAlign w:val="center"/>
          </w:tcPr>
          <w:p w14:paraId="5670957C">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sz w:val="22"/>
                <w:szCs w:val="22"/>
                <w:lang w:val="en-US" w:eastAsia="zh-CN"/>
              </w:rPr>
              <w:t>供货</w:t>
            </w:r>
            <w:r>
              <w:rPr>
                <w:rFonts w:hint="eastAsia" w:ascii="宋体" w:hAnsi="宋体" w:eastAsia="宋体" w:cs="宋体"/>
                <w:b/>
                <w:bCs/>
                <w:sz w:val="22"/>
                <w:szCs w:val="22"/>
              </w:rPr>
              <w:t>价（元）</w:t>
            </w:r>
          </w:p>
        </w:tc>
        <w:tc>
          <w:tcPr>
            <w:tcW w:w="2313" w:type="dxa"/>
            <w:noWrap w:val="0"/>
            <w:vAlign w:val="center"/>
          </w:tcPr>
          <w:p w14:paraId="52F2ADE2">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统一下浮系数报价</w:t>
            </w:r>
          </w:p>
          <w:p w14:paraId="7716D32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color w:val="auto"/>
                <w:kern w:val="0"/>
                <w:sz w:val="22"/>
                <w:szCs w:val="22"/>
                <w:u w:val="none"/>
                <w:lang w:bidi="ar"/>
              </w:rPr>
              <w:t>（最终单价报价=各</w:t>
            </w:r>
            <w:r>
              <w:rPr>
                <w:rFonts w:hint="eastAsia" w:ascii="宋体" w:hAnsi="宋体" w:eastAsia="宋体" w:cs="宋体"/>
                <w:b/>
                <w:bCs/>
                <w:color w:val="auto"/>
                <w:kern w:val="0"/>
                <w:sz w:val="22"/>
                <w:szCs w:val="22"/>
                <w:u w:val="none"/>
                <w:lang w:val="en-US" w:eastAsia="zh-CN" w:bidi="ar"/>
              </w:rPr>
              <w:t>产品供货价</w:t>
            </w:r>
            <w:r>
              <w:rPr>
                <w:rFonts w:hint="eastAsia" w:ascii="宋体" w:hAnsi="宋体" w:eastAsia="宋体" w:cs="宋体"/>
                <w:b/>
                <w:bCs/>
                <w:color w:val="auto"/>
                <w:kern w:val="0"/>
                <w:sz w:val="22"/>
                <w:szCs w:val="22"/>
                <w:u w:val="none"/>
                <w:lang w:bidi="ar"/>
              </w:rPr>
              <w:t>×（1-</w:t>
            </w:r>
            <w:r>
              <w:rPr>
                <w:rFonts w:hint="eastAsia" w:ascii="宋体" w:hAnsi="宋体" w:eastAsia="宋体" w:cs="宋体"/>
                <w:b/>
                <w:bCs/>
                <w:color w:val="auto"/>
                <w:kern w:val="0"/>
                <w:sz w:val="22"/>
                <w:szCs w:val="22"/>
                <w:u w:val="none"/>
                <w:lang w:val="en-US" w:eastAsia="zh-CN" w:bidi="ar"/>
              </w:rPr>
              <w:t>下浮系数</w:t>
            </w:r>
            <w:r>
              <w:rPr>
                <w:rFonts w:hint="eastAsia" w:ascii="宋体" w:hAnsi="宋体" w:eastAsia="宋体" w:cs="宋体"/>
                <w:b/>
                <w:bCs/>
                <w:color w:val="auto"/>
                <w:kern w:val="0"/>
                <w:sz w:val="22"/>
                <w:szCs w:val="22"/>
                <w:u w:val="none"/>
                <w:lang w:bidi="ar"/>
              </w:rPr>
              <w:t>））</w:t>
            </w:r>
          </w:p>
        </w:tc>
      </w:tr>
      <w:tr w14:paraId="309A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91" w:type="dxa"/>
            <w:noWrap w:val="0"/>
            <w:vAlign w:val="center"/>
          </w:tcPr>
          <w:p w14:paraId="0B3341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92" w:type="dxa"/>
            <w:noWrap w:val="0"/>
            <w:vAlign w:val="center"/>
          </w:tcPr>
          <w:p w14:paraId="48F923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清洁剂</w:t>
            </w:r>
          </w:p>
        </w:tc>
        <w:tc>
          <w:tcPr>
            <w:tcW w:w="2229" w:type="dxa"/>
            <w:noWrap w:val="0"/>
            <w:vAlign w:val="center"/>
          </w:tcPr>
          <w:p w14:paraId="1DA04B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JB/无磷无泡沫型</w:t>
            </w:r>
          </w:p>
        </w:tc>
        <w:tc>
          <w:tcPr>
            <w:tcW w:w="1550" w:type="dxa"/>
            <w:noWrap w:val="0"/>
            <w:vAlign w:val="center"/>
          </w:tcPr>
          <w:p w14:paraId="4B020E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20kg/桶</w:t>
            </w:r>
          </w:p>
        </w:tc>
        <w:tc>
          <w:tcPr>
            <w:tcW w:w="1275" w:type="dxa"/>
            <w:noWrap w:val="0"/>
            <w:vAlign w:val="center"/>
          </w:tcPr>
          <w:p w14:paraId="4526C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w:t>
            </w:r>
          </w:p>
        </w:tc>
        <w:tc>
          <w:tcPr>
            <w:tcW w:w="2313" w:type="dxa"/>
            <w:vMerge w:val="restart"/>
            <w:noWrap w:val="0"/>
            <w:vAlign w:val="center"/>
          </w:tcPr>
          <w:p w14:paraId="07FE5F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下浮系数为</w:t>
            </w:r>
            <w:r>
              <w:rPr>
                <w:rFonts w:hint="eastAsia" w:ascii="宋体" w:hAnsi="宋体" w:eastAsia="宋体" w:cs="宋体"/>
                <w:i w:val="0"/>
                <w:iCs w:val="0"/>
                <w:color w:val="auto"/>
                <w:kern w:val="0"/>
                <w:sz w:val="22"/>
                <w:szCs w:val="22"/>
                <w:u w:val="single"/>
                <w:lang w:val="en-US" w:eastAsia="zh-CN" w:bidi="ar"/>
              </w:rPr>
              <w:t xml:space="preserve">     %</w:t>
            </w:r>
          </w:p>
        </w:tc>
      </w:tr>
      <w:tr w14:paraId="0505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1" w:type="dxa"/>
            <w:noWrap w:val="0"/>
            <w:vAlign w:val="center"/>
          </w:tcPr>
          <w:p w14:paraId="57F7AD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92" w:type="dxa"/>
            <w:noWrap w:val="0"/>
            <w:vAlign w:val="center"/>
          </w:tcPr>
          <w:p w14:paraId="642C37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亮光剂</w:t>
            </w:r>
          </w:p>
        </w:tc>
        <w:tc>
          <w:tcPr>
            <w:tcW w:w="2229" w:type="dxa"/>
            <w:noWrap w:val="0"/>
            <w:vAlign w:val="center"/>
          </w:tcPr>
          <w:p w14:paraId="201ED6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JB/无痕</w:t>
            </w:r>
          </w:p>
        </w:tc>
        <w:tc>
          <w:tcPr>
            <w:tcW w:w="1550" w:type="dxa"/>
            <w:noWrap w:val="0"/>
            <w:vAlign w:val="center"/>
          </w:tcPr>
          <w:p w14:paraId="3BF60A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20kg/桶</w:t>
            </w:r>
          </w:p>
        </w:tc>
        <w:tc>
          <w:tcPr>
            <w:tcW w:w="1275" w:type="dxa"/>
            <w:noWrap w:val="0"/>
            <w:vAlign w:val="center"/>
          </w:tcPr>
          <w:p w14:paraId="68BA87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380</w:t>
            </w:r>
          </w:p>
        </w:tc>
        <w:tc>
          <w:tcPr>
            <w:tcW w:w="2313" w:type="dxa"/>
            <w:vMerge w:val="continue"/>
            <w:noWrap w:val="0"/>
            <w:vAlign w:val="center"/>
          </w:tcPr>
          <w:p w14:paraId="71673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60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1" w:type="dxa"/>
            <w:noWrap w:val="0"/>
            <w:vAlign w:val="center"/>
          </w:tcPr>
          <w:p w14:paraId="60F19C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92" w:type="dxa"/>
            <w:noWrap w:val="0"/>
            <w:vAlign w:val="center"/>
          </w:tcPr>
          <w:p w14:paraId="4C1A38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除圬剂</w:t>
            </w:r>
          </w:p>
        </w:tc>
        <w:tc>
          <w:tcPr>
            <w:tcW w:w="2229" w:type="dxa"/>
            <w:noWrap w:val="0"/>
            <w:vAlign w:val="center"/>
          </w:tcPr>
          <w:p w14:paraId="5A95FE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浓缩型</w:t>
            </w:r>
          </w:p>
        </w:tc>
        <w:tc>
          <w:tcPr>
            <w:tcW w:w="1550" w:type="dxa"/>
            <w:noWrap w:val="0"/>
            <w:vAlign w:val="center"/>
          </w:tcPr>
          <w:p w14:paraId="19C869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1加仑（3.78L）</w:t>
            </w:r>
          </w:p>
        </w:tc>
        <w:tc>
          <w:tcPr>
            <w:tcW w:w="1275" w:type="dxa"/>
            <w:noWrap w:val="0"/>
            <w:vAlign w:val="center"/>
          </w:tcPr>
          <w:p w14:paraId="73F50A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2313" w:type="dxa"/>
            <w:vMerge w:val="continue"/>
            <w:noWrap w:val="0"/>
            <w:vAlign w:val="center"/>
          </w:tcPr>
          <w:p w14:paraId="79B16D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BD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1" w:type="dxa"/>
            <w:vMerge w:val="restart"/>
            <w:noWrap w:val="0"/>
            <w:vAlign w:val="center"/>
          </w:tcPr>
          <w:p w14:paraId="56D395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92" w:type="dxa"/>
            <w:vMerge w:val="restart"/>
            <w:noWrap w:val="0"/>
            <w:vAlign w:val="center"/>
          </w:tcPr>
          <w:p w14:paraId="42E241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洗碗机高质框</w:t>
            </w:r>
          </w:p>
        </w:tc>
        <w:tc>
          <w:tcPr>
            <w:tcW w:w="2229" w:type="dxa"/>
            <w:noWrap w:val="0"/>
            <w:vAlign w:val="center"/>
          </w:tcPr>
          <w:p w14:paraId="662DCA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16格</w:t>
            </w:r>
          </w:p>
        </w:tc>
        <w:tc>
          <w:tcPr>
            <w:tcW w:w="1550" w:type="dxa"/>
            <w:vMerge w:val="restart"/>
            <w:noWrap w:val="0"/>
            <w:vAlign w:val="center"/>
          </w:tcPr>
          <w:p w14:paraId="43EC62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275" w:type="dxa"/>
            <w:vMerge w:val="restart"/>
            <w:noWrap w:val="0"/>
            <w:vAlign w:val="center"/>
          </w:tcPr>
          <w:p w14:paraId="3C1DC1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2313" w:type="dxa"/>
            <w:vMerge w:val="continue"/>
            <w:noWrap w:val="0"/>
            <w:vAlign w:val="center"/>
          </w:tcPr>
          <w:p w14:paraId="078AB2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5F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1" w:type="dxa"/>
            <w:vMerge w:val="continue"/>
            <w:noWrap w:val="0"/>
            <w:vAlign w:val="center"/>
          </w:tcPr>
          <w:p w14:paraId="345164D5">
            <w:pPr>
              <w:jc w:val="center"/>
              <w:rPr>
                <w:rFonts w:hint="eastAsia" w:ascii="宋体" w:hAnsi="宋体" w:eastAsia="宋体" w:cs="宋体"/>
                <w:sz w:val="22"/>
                <w:szCs w:val="22"/>
              </w:rPr>
            </w:pPr>
          </w:p>
        </w:tc>
        <w:tc>
          <w:tcPr>
            <w:tcW w:w="1592" w:type="dxa"/>
            <w:vMerge w:val="continue"/>
            <w:noWrap w:val="0"/>
            <w:vAlign w:val="center"/>
          </w:tcPr>
          <w:p w14:paraId="1A2B6CED">
            <w:pPr>
              <w:jc w:val="center"/>
              <w:rPr>
                <w:rFonts w:hint="eastAsia" w:ascii="宋体" w:hAnsi="宋体" w:eastAsia="宋体" w:cs="宋体"/>
                <w:sz w:val="22"/>
                <w:szCs w:val="22"/>
              </w:rPr>
            </w:pPr>
          </w:p>
        </w:tc>
        <w:tc>
          <w:tcPr>
            <w:tcW w:w="2229" w:type="dxa"/>
            <w:noWrap w:val="0"/>
            <w:vAlign w:val="center"/>
          </w:tcPr>
          <w:p w14:paraId="6EBE7B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20格</w:t>
            </w:r>
          </w:p>
        </w:tc>
        <w:tc>
          <w:tcPr>
            <w:tcW w:w="1550" w:type="dxa"/>
            <w:vMerge w:val="continue"/>
            <w:noWrap w:val="0"/>
            <w:vAlign w:val="center"/>
          </w:tcPr>
          <w:p w14:paraId="27D01AF5">
            <w:pPr>
              <w:jc w:val="center"/>
              <w:rPr>
                <w:rFonts w:hint="eastAsia" w:ascii="宋体" w:hAnsi="宋体" w:eastAsia="宋体" w:cs="宋体"/>
                <w:sz w:val="22"/>
                <w:szCs w:val="22"/>
              </w:rPr>
            </w:pPr>
          </w:p>
        </w:tc>
        <w:tc>
          <w:tcPr>
            <w:tcW w:w="1275" w:type="dxa"/>
            <w:vMerge w:val="continue"/>
            <w:noWrap w:val="0"/>
            <w:vAlign w:val="center"/>
          </w:tcPr>
          <w:p w14:paraId="36FEF9EB">
            <w:pPr>
              <w:jc w:val="center"/>
              <w:rPr>
                <w:rFonts w:hint="eastAsia" w:ascii="宋体" w:hAnsi="宋体" w:eastAsia="宋体" w:cs="宋体"/>
                <w:sz w:val="22"/>
                <w:szCs w:val="22"/>
              </w:rPr>
            </w:pPr>
          </w:p>
        </w:tc>
        <w:tc>
          <w:tcPr>
            <w:tcW w:w="2313" w:type="dxa"/>
            <w:vMerge w:val="continue"/>
            <w:noWrap w:val="0"/>
            <w:vAlign w:val="center"/>
          </w:tcPr>
          <w:p w14:paraId="030D2778">
            <w:pPr>
              <w:jc w:val="center"/>
              <w:rPr>
                <w:rFonts w:hint="eastAsia" w:ascii="宋体" w:hAnsi="宋体" w:eastAsia="宋体" w:cs="宋体"/>
                <w:sz w:val="22"/>
                <w:szCs w:val="22"/>
              </w:rPr>
            </w:pPr>
          </w:p>
        </w:tc>
      </w:tr>
      <w:tr w14:paraId="25F4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1" w:type="dxa"/>
            <w:vMerge w:val="continue"/>
            <w:noWrap w:val="0"/>
            <w:vAlign w:val="center"/>
          </w:tcPr>
          <w:p w14:paraId="0289CE93">
            <w:pPr>
              <w:jc w:val="center"/>
              <w:rPr>
                <w:rFonts w:hint="eastAsia" w:ascii="宋体" w:hAnsi="宋体" w:eastAsia="宋体" w:cs="宋体"/>
                <w:sz w:val="22"/>
                <w:szCs w:val="22"/>
              </w:rPr>
            </w:pPr>
          </w:p>
        </w:tc>
        <w:tc>
          <w:tcPr>
            <w:tcW w:w="1592" w:type="dxa"/>
            <w:vMerge w:val="continue"/>
            <w:noWrap w:val="0"/>
            <w:vAlign w:val="center"/>
          </w:tcPr>
          <w:p w14:paraId="145DCD0A">
            <w:pPr>
              <w:jc w:val="center"/>
              <w:rPr>
                <w:rFonts w:hint="eastAsia" w:ascii="宋体" w:hAnsi="宋体" w:eastAsia="宋体" w:cs="宋体"/>
                <w:sz w:val="22"/>
                <w:szCs w:val="22"/>
              </w:rPr>
            </w:pPr>
          </w:p>
        </w:tc>
        <w:tc>
          <w:tcPr>
            <w:tcW w:w="2229" w:type="dxa"/>
            <w:noWrap w:val="0"/>
            <w:vAlign w:val="center"/>
          </w:tcPr>
          <w:p w14:paraId="277413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64刺刺框</w:t>
            </w:r>
          </w:p>
        </w:tc>
        <w:tc>
          <w:tcPr>
            <w:tcW w:w="1550" w:type="dxa"/>
            <w:vMerge w:val="continue"/>
            <w:noWrap w:val="0"/>
            <w:vAlign w:val="center"/>
          </w:tcPr>
          <w:p w14:paraId="038295FA">
            <w:pPr>
              <w:jc w:val="center"/>
              <w:rPr>
                <w:rFonts w:hint="eastAsia" w:ascii="宋体" w:hAnsi="宋体" w:eastAsia="宋体" w:cs="宋体"/>
                <w:sz w:val="22"/>
                <w:szCs w:val="22"/>
              </w:rPr>
            </w:pPr>
          </w:p>
        </w:tc>
        <w:tc>
          <w:tcPr>
            <w:tcW w:w="1275" w:type="dxa"/>
            <w:vMerge w:val="continue"/>
            <w:noWrap w:val="0"/>
            <w:vAlign w:val="center"/>
          </w:tcPr>
          <w:p w14:paraId="4F9BD81A">
            <w:pPr>
              <w:jc w:val="center"/>
              <w:rPr>
                <w:rFonts w:hint="eastAsia" w:ascii="宋体" w:hAnsi="宋体" w:eastAsia="宋体" w:cs="宋体"/>
                <w:sz w:val="22"/>
                <w:szCs w:val="22"/>
              </w:rPr>
            </w:pPr>
          </w:p>
        </w:tc>
        <w:tc>
          <w:tcPr>
            <w:tcW w:w="2313" w:type="dxa"/>
            <w:vMerge w:val="continue"/>
            <w:noWrap w:val="0"/>
            <w:vAlign w:val="center"/>
          </w:tcPr>
          <w:p w14:paraId="5B048E6C">
            <w:pPr>
              <w:jc w:val="center"/>
              <w:rPr>
                <w:rFonts w:hint="eastAsia" w:ascii="宋体" w:hAnsi="宋体" w:eastAsia="宋体" w:cs="宋体"/>
                <w:sz w:val="22"/>
                <w:szCs w:val="22"/>
              </w:rPr>
            </w:pPr>
          </w:p>
        </w:tc>
      </w:tr>
      <w:tr w14:paraId="2DCB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1" w:type="dxa"/>
            <w:vMerge w:val="continue"/>
            <w:noWrap w:val="0"/>
            <w:vAlign w:val="center"/>
          </w:tcPr>
          <w:p w14:paraId="5742228C">
            <w:pPr>
              <w:jc w:val="center"/>
              <w:rPr>
                <w:rFonts w:hint="eastAsia" w:ascii="宋体" w:hAnsi="宋体" w:eastAsia="宋体" w:cs="宋体"/>
                <w:sz w:val="22"/>
                <w:szCs w:val="22"/>
              </w:rPr>
            </w:pPr>
          </w:p>
        </w:tc>
        <w:tc>
          <w:tcPr>
            <w:tcW w:w="1592" w:type="dxa"/>
            <w:vMerge w:val="continue"/>
            <w:noWrap w:val="0"/>
            <w:vAlign w:val="center"/>
          </w:tcPr>
          <w:p w14:paraId="78797C8D">
            <w:pPr>
              <w:jc w:val="center"/>
              <w:rPr>
                <w:rFonts w:hint="eastAsia" w:ascii="宋体" w:hAnsi="宋体" w:eastAsia="宋体" w:cs="宋体"/>
                <w:sz w:val="22"/>
                <w:szCs w:val="22"/>
              </w:rPr>
            </w:pPr>
          </w:p>
        </w:tc>
        <w:tc>
          <w:tcPr>
            <w:tcW w:w="2229" w:type="dxa"/>
            <w:noWrap w:val="0"/>
            <w:vAlign w:val="center"/>
          </w:tcPr>
          <w:p w14:paraId="050C03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25刺刺框</w:t>
            </w:r>
          </w:p>
        </w:tc>
        <w:tc>
          <w:tcPr>
            <w:tcW w:w="1550" w:type="dxa"/>
            <w:vMerge w:val="continue"/>
            <w:noWrap w:val="0"/>
            <w:vAlign w:val="center"/>
          </w:tcPr>
          <w:p w14:paraId="1FADCEA6">
            <w:pPr>
              <w:jc w:val="center"/>
              <w:rPr>
                <w:rFonts w:hint="eastAsia" w:ascii="宋体" w:hAnsi="宋体" w:eastAsia="宋体" w:cs="宋体"/>
                <w:sz w:val="22"/>
                <w:szCs w:val="22"/>
              </w:rPr>
            </w:pPr>
          </w:p>
        </w:tc>
        <w:tc>
          <w:tcPr>
            <w:tcW w:w="1275" w:type="dxa"/>
            <w:vMerge w:val="continue"/>
            <w:noWrap w:val="0"/>
            <w:vAlign w:val="center"/>
          </w:tcPr>
          <w:p w14:paraId="5F069A94">
            <w:pPr>
              <w:jc w:val="center"/>
              <w:rPr>
                <w:rFonts w:hint="eastAsia" w:ascii="宋体" w:hAnsi="宋体" w:eastAsia="宋体" w:cs="宋体"/>
                <w:sz w:val="22"/>
                <w:szCs w:val="22"/>
              </w:rPr>
            </w:pPr>
          </w:p>
        </w:tc>
        <w:tc>
          <w:tcPr>
            <w:tcW w:w="2313" w:type="dxa"/>
            <w:vMerge w:val="continue"/>
            <w:noWrap w:val="0"/>
            <w:vAlign w:val="center"/>
          </w:tcPr>
          <w:p w14:paraId="78DF4B01">
            <w:pPr>
              <w:jc w:val="center"/>
              <w:rPr>
                <w:rFonts w:hint="eastAsia" w:ascii="宋体" w:hAnsi="宋体" w:eastAsia="宋体" w:cs="宋体"/>
                <w:sz w:val="22"/>
                <w:szCs w:val="22"/>
              </w:rPr>
            </w:pPr>
          </w:p>
        </w:tc>
      </w:tr>
      <w:tr w14:paraId="2C56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1" w:type="dxa"/>
            <w:vMerge w:val="continue"/>
            <w:noWrap w:val="0"/>
            <w:vAlign w:val="center"/>
          </w:tcPr>
          <w:p w14:paraId="48B636E8">
            <w:pPr>
              <w:jc w:val="center"/>
              <w:rPr>
                <w:rFonts w:hint="eastAsia" w:ascii="宋体" w:hAnsi="宋体" w:eastAsia="宋体" w:cs="宋体"/>
                <w:sz w:val="22"/>
                <w:szCs w:val="22"/>
              </w:rPr>
            </w:pPr>
          </w:p>
        </w:tc>
        <w:tc>
          <w:tcPr>
            <w:tcW w:w="1592" w:type="dxa"/>
            <w:vMerge w:val="continue"/>
            <w:noWrap w:val="0"/>
            <w:vAlign w:val="center"/>
          </w:tcPr>
          <w:p w14:paraId="1D1CB348">
            <w:pPr>
              <w:jc w:val="center"/>
              <w:rPr>
                <w:rFonts w:hint="eastAsia" w:ascii="宋体" w:hAnsi="宋体" w:eastAsia="宋体" w:cs="宋体"/>
                <w:sz w:val="22"/>
                <w:szCs w:val="22"/>
              </w:rPr>
            </w:pPr>
          </w:p>
        </w:tc>
        <w:tc>
          <w:tcPr>
            <w:tcW w:w="2229" w:type="dxa"/>
            <w:noWrap w:val="0"/>
            <w:vAlign w:val="center"/>
          </w:tcPr>
          <w:p w14:paraId="3E35ED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碗框</w:t>
            </w:r>
          </w:p>
        </w:tc>
        <w:tc>
          <w:tcPr>
            <w:tcW w:w="1550" w:type="dxa"/>
            <w:vMerge w:val="continue"/>
            <w:noWrap w:val="0"/>
            <w:vAlign w:val="center"/>
          </w:tcPr>
          <w:p w14:paraId="25F3EC9C">
            <w:pPr>
              <w:jc w:val="center"/>
              <w:rPr>
                <w:rFonts w:hint="eastAsia" w:ascii="宋体" w:hAnsi="宋体" w:eastAsia="宋体" w:cs="宋体"/>
                <w:sz w:val="22"/>
                <w:szCs w:val="22"/>
              </w:rPr>
            </w:pPr>
          </w:p>
        </w:tc>
        <w:tc>
          <w:tcPr>
            <w:tcW w:w="1275" w:type="dxa"/>
            <w:vMerge w:val="continue"/>
            <w:noWrap w:val="0"/>
            <w:vAlign w:val="center"/>
          </w:tcPr>
          <w:p w14:paraId="1266E286">
            <w:pPr>
              <w:jc w:val="center"/>
              <w:rPr>
                <w:rFonts w:hint="eastAsia" w:ascii="宋体" w:hAnsi="宋体" w:eastAsia="宋体" w:cs="宋体"/>
                <w:sz w:val="22"/>
                <w:szCs w:val="22"/>
              </w:rPr>
            </w:pPr>
          </w:p>
        </w:tc>
        <w:tc>
          <w:tcPr>
            <w:tcW w:w="2313" w:type="dxa"/>
            <w:vMerge w:val="continue"/>
            <w:noWrap w:val="0"/>
            <w:vAlign w:val="center"/>
          </w:tcPr>
          <w:p w14:paraId="472E0191">
            <w:pPr>
              <w:jc w:val="center"/>
              <w:rPr>
                <w:rFonts w:hint="eastAsia" w:ascii="宋体" w:hAnsi="宋体" w:eastAsia="宋体" w:cs="宋体"/>
                <w:sz w:val="22"/>
                <w:szCs w:val="22"/>
              </w:rPr>
            </w:pPr>
          </w:p>
        </w:tc>
      </w:tr>
    </w:tbl>
    <w:p w14:paraId="78443F7B">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注：报价清单必须完整涵盖以上所有产品品目，不允许出现缺项、漏项或代替项。</w:t>
      </w:r>
    </w:p>
    <w:p w14:paraId="304F53CB">
      <w:pPr>
        <w:pStyle w:val="2"/>
        <w:rPr>
          <w:rFonts w:hint="default"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3A590AD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二、资格要求</w:t>
      </w:r>
    </w:p>
    <w:p w14:paraId="58FD8D97">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（1）符合《中华人民共和国政府采购法》第二十二条规定的全部条件，包括但不限于：</w:t>
      </w:r>
    </w:p>
    <w:p w14:paraId="70402CC0">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具有独立承担民事责任的能力；</w:t>
      </w:r>
    </w:p>
    <w:p w14:paraId="35523D1B">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具有履行合同所必需的设备和专业技术能力；</w:t>
      </w:r>
    </w:p>
    <w:p w14:paraId="2EA3C436">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有依法缴纳税收和社会保障资金的良好记录。</w:t>
      </w:r>
    </w:p>
    <w:p w14:paraId="29877AE6">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（2）持有合法有效的《营业执照》（三证合一）。</w:t>
      </w:r>
    </w:p>
    <w:p w14:paraId="172AFD8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cstheme="minorEastAsia"/>
          <w:color w:val="auto"/>
          <w:sz w:val="30"/>
          <w:szCs w:val="30"/>
          <w:lang w:val="en-US" w:eastAsia="zh-CN"/>
        </w:rPr>
        <w:t>2、</w:t>
      </w:r>
      <w:r>
        <w:rPr>
          <w:rFonts w:hint="eastAsia" w:asciiTheme="minorEastAsia" w:hAnsiTheme="minorEastAsia" w:eastAsiaTheme="minorEastAsia" w:cstheme="minorEastAsia"/>
          <w:color w:val="auto"/>
          <w:sz w:val="30"/>
          <w:szCs w:val="30"/>
        </w:rPr>
        <w:t>本项目不接受联合体报价</w:t>
      </w:r>
      <w:r>
        <w:rPr>
          <w:rFonts w:hint="eastAsia" w:asciiTheme="minorEastAsia" w:hAnsiTheme="minorEastAsia" w:cstheme="minorEastAsia"/>
          <w:color w:val="auto"/>
          <w:sz w:val="30"/>
          <w:szCs w:val="30"/>
          <w:lang w:eastAsia="zh-CN"/>
        </w:rPr>
        <w:t>。</w:t>
      </w:r>
    </w:p>
    <w:p w14:paraId="22D04D78">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三、供应产品的质量要求</w:t>
      </w:r>
    </w:p>
    <w:p w14:paraId="76B597FB">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1.产品质量要求</w:t>
      </w:r>
    </w:p>
    <w:p w14:paraId="61E92C25">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1.1符合国家相关标准：产品必须符合GB9985-2000《手洗餐具用洗涤剂》的国家强制标准，并达到GB14930.1（货品安全国家标准洗涤剂）B类以上（含B类）。</w:t>
      </w:r>
    </w:p>
    <w:p w14:paraId="39C736CE">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2.成分要求：无磷；不得含有国家明令禁止的有害物质。</w:t>
      </w:r>
    </w:p>
    <w:p w14:paraId="0C5DC8FC">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3.质量检测：成交方在</w:t>
      </w:r>
      <w:r>
        <w:rPr>
          <w:rFonts w:hint="eastAsia" w:asciiTheme="minorEastAsia" w:hAnsiTheme="minorEastAsia" w:eastAsiaTheme="minorEastAsia" w:cstheme="minorEastAsia"/>
          <w:color w:val="auto"/>
          <w:kern w:val="2"/>
          <w:sz w:val="30"/>
          <w:szCs w:val="30"/>
          <w:lang w:val="en-US" w:eastAsia="zh-CN" w:bidi="ar-SA"/>
        </w:rPr>
        <w:t>成交后须按院方要求</w:t>
      </w:r>
      <w:r>
        <w:rPr>
          <w:rFonts w:hint="eastAsia" w:ascii="宋体" w:hAnsi="宋体" w:eastAsia="宋体" w:cs="宋体"/>
          <w:color w:val="auto"/>
          <w:sz w:val="32"/>
          <w:szCs w:val="32"/>
          <w:lang w:val="en-US" w:eastAsia="zh-CN"/>
        </w:rPr>
        <w:t>提供所投产品的第三方检测报告原件查验及提交复印件并加盖公章；每批次配送需附带洗洁精清单和质量检验合格报告。</w:t>
      </w:r>
    </w:p>
    <w:p w14:paraId="0AE19577">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4.包装与标签：</w:t>
      </w:r>
    </w:p>
    <w:p w14:paraId="6B2F21EB">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4.1包装应完好无损，标识清晰，包括产品名称、规格、生产日期、保质期、执行标准等信息。</w:t>
      </w:r>
    </w:p>
    <w:p w14:paraId="499FCC3B">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4.2标签应符合国家相关标准，确保信息真实、准确。</w:t>
      </w:r>
    </w:p>
    <w:p w14:paraId="259C7CD7">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5.若出现质量问题或保质期不足的情况，院方有权拒绝接受所提供的物品。</w:t>
      </w:r>
    </w:p>
    <w:p w14:paraId="65504AA5">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四、产品</w:t>
      </w:r>
      <w:r>
        <w:rPr>
          <w:rFonts w:hint="default" w:ascii="宋体" w:hAnsi="宋体" w:eastAsia="宋体" w:cs="宋体"/>
          <w:color w:val="auto"/>
          <w:sz w:val="32"/>
          <w:szCs w:val="32"/>
          <w:lang w:val="en-US" w:eastAsia="zh-CN"/>
        </w:rPr>
        <w:t>配送便利性及相关配送要求</w:t>
      </w:r>
    </w:p>
    <w:p w14:paraId="45335BA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宋体" w:hAnsi="宋体" w:eastAsia="宋体" w:cs="宋体"/>
          <w:color w:val="auto"/>
          <w:kern w:val="2"/>
          <w:sz w:val="30"/>
          <w:szCs w:val="30"/>
          <w:lang w:val="en-US" w:eastAsia="zh-CN" w:bidi="ar-SA"/>
        </w:rPr>
        <w:t>1.</w:t>
      </w:r>
      <w:r>
        <w:rPr>
          <w:rFonts w:hint="eastAsia" w:ascii="宋体" w:hAnsi="宋体" w:eastAsia="宋体" w:cs="宋体"/>
          <w:kern w:val="2"/>
          <w:sz w:val="30"/>
          <w:szCs w:val="30"/>
          <w:lang w:val="en-US" w:eastAsia="zh-CN" w:bidi="ar-SA"/>
        </w:rPr>
        <w:t>成交人收到院方订单30 分钟内确认订单可行性，包括库存、数量及送达时间并在规定时间内送达；因交通、天气等不可抗力导致的延误除外。</w:t>
      </w:r>
    </w:p>
    <w:p w14:paraId="46F7C344">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2.成交人每次供货时，应向院方提供加盖公章的货物清单（出库单）和全额增值税普通发票或增值税专用发票等相关票据。</w:t>
      </w:r>
    </w:p>
    <w:p w14:paraId="3A180E7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3.数量要求：保证配送产品的品种及数量的准确性，以院方的验收数量为准，每次根据院方的电话或其他方式通知订购品种、数量后，按时运送物品到指定地点，成交人随货提供注明货物名称、单位、数量、售价及总金额的商品送货清单，成交人每次随货送上一式三份的送货清单，供双方验货后签字确认，成交人持一份，院方持二份，作为送、收货的凭证。</w:t>
      </w:r>
    </w:p>
    <w:p w14:paraId="5113A31C">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4.运输要求：成交人要有不少于1辆配送车辆保障院方的货物运输，运输工具应清洁卫生无污染，货品运输需采用符合卫生标准的外包装和运载工具，并且要保持清洁和定期消毒。运输车厢的内舱，包括地面、墙面和顶，应使用抗腐蚀、防潮，易清洁消毒的材料。车厢内无不良气味、异味；运输途中严防日晒、雨淋；货品堆放科学合理。</w:t>
      </w:r>
    </w:p>
    <w:p w14:paraId="2631832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5.成交人所报的货品价格均包含了货物、包装、运输、保险、税费及其他所有相关服务费用，成交人不得以开具发票等手续为由再向院方申请款项。</w:t>
      </w:r>
    </w:p>
    <w:p w14:paraId="16B7E41A">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6.最终提供货品品类和数量以院方提前通知为准。院方有权对供货清单（含货品品类、数量等）做适当修改调整。</w:t>
      </w:r>
    </w:p>
    <w:p w14:paraId="654B7309">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7.成交人除不可抗力，不得因其他任何理由延迟送货。院方如遇特殊情况需推迟送货，应提前通知成交人。因成交人原因延误交货时间的（院方要求推迟的除外），院方有权自行采购，并由成交人承担由此产生的一切损失和费用。</w:t>
      </w:r>
    </w:p>
    <w:p w14:paraId="55B88C9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8.成交人不得变更供货清单，应严格按需求文件要求（含商标、名称、产地、规格和重量等）供应，否则院方有权拒收。如因市场流通问题确实需要变更的，应书面向院方申请。</w:t>
      </w:r>
    </w:p>
    <w:p w14:paraId="6BF11603">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9.院方按采购协议规定的质量标准、采购清单上的品类及数量等对每次到货的产品进行严格的验收，成交人未能履行需求文件和合同所规定事项，或供应不合格的、假冒伪劣、以次充好或保质期不足的货品，院方有权拒绝接受所提供的物品或货品，给予成交人书面警告并记录在案，成交人无条件收回所供应的货品并给予院方书面答复说明原因，造成的一切损失和费用由成交人负责，并在1小时内更换合格货品。产品不合格超过3次的，院方有权取消供货资格，终止合同。</w:t>
      </w:r>
    </w:p>
    <w:p w14:paraId="3B9A45D0">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10.成交人在合同履行期间内保证对院方的货物供应，在供应的货品出现明显问题时，院方有权对所供货物进行抽检，并交予有资质的检测机构进行检测（检测费用由成交人承担）。</w:t>
      </w:r>
    </w:p>
    <w:p w14:paraId="4445AE05">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五、定价、结算方式</w:t>
      </w:r>
    </w:p>
    <w:p w14:paraId="377B745C">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1.定价方式</w:t>
      </w:r>
    </w:p>
    <w:p w14:paraId="154518A7">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1.1按统一下浮系数报价；</w:t>
      </w:r>
    </w:p>
    <w:p w14:paraId="431C028F">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1.2响应报价结合市场价、原材料成本及成交人自身条件、市场风险等因素考虑报出综合的下浮系数，以优惠的价格向院方供应货品。各产品实际采购价格=各产品供货价×（1-下浮系数），该结算综合下浮系数在合同服务期内不得改变。</w:t>
      </w:r>
    </w:p>
    <w:p w14:paraId="4F38E916">
      <w:pPr>
        <w:pStyle w:val="2"/>
        <w:rPr>
          <w:rFonts w:hint="eastAsia"/>
          <w:sz w:val="22"/>
          <w:szCs w:val="22"/>
          <w:lang w:val="en-US" w:eastAsia="zh-CN"/>
        </w:rPr>
      </w:pPr>
      <w:r>
        <w:rPr>
          <w:rFonts w:hint="eastAsia" w:ascii="宋体" w:hAnsi="宋体" w:eastAsia="宋体" w:cs="宋体"/>
          <w:color w:val="auto"/>
          <w:kern w:val="2"/>
          <w:sz w:val="24"/>
          <w:szCs w:val="24"/>
          <w:lang w:val="en-US" w:eastAsia="zh-CN" w:bidi="ar-SA"/>
        </w:rPr>
        <w:t>（如：A产品供货价为100元，下浮系数为20%，最终A产品实际采购价格=100×（1-20%）=80元）</w:t>
      </w:r>
    </w:p>
    <w:p w14:paraId="7AAFE4EC">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1.3报价必须含以下部分：</w:t>
      </w:r>
    </w:p>
    <w:p w14:paraId="4BBA8814">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1.3.1货物、服务费用；</w:t>
      </w:r>
    </w:p>
    <w:p w14:paraId="7417DD0F">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1.3.2报价需包含必要的保险费用和各项税金费用；</w:t>
      </w:r>
    </w:p>
    <w:p w14:paraId="62EF0F19">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1.3.3报价需包含购置、检验、分拣、包装、运输、仓储、装卸、配送、搬运、检验检测、售后服务、雇员费用、管理费等合同履行过程中的应预见和不可预见的一切费用。</w:t>
      </w:r>
    </w:p>
    <w:p w14:paraId="36C228F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bCs/>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2.结算方式：</w:t>
      </w:r>
    </w:p>
    <w:p w14:paraId="350424BE">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rPr>
          <w:color w:val="auto"/>
        </w:rPr>
      </w:pPr>
      <w:r>
        <w:rPr>
          <w:rFonts w:hint="eastAsia" w:ascii="宋体" w:hAnsi="宋体" w:eastAsia="宋体" w:cs="宋体"/>
          <w:color w:val="auto"/>
          <w:kern w:val="2"/>
          <w:sz w:val="30"/>
          <w:szCs w:val="30"/>
          <w:lang w:val="en-US" w:eastAsia="zh-CN" w:bidi="ar-SA"/>
        </w:rPr>
        <w:t>院方通过本合同列明的公对公账户向成交人转账，院方对采购品目数量最终以实际购买的经双方验收确认的种类及数量进行结算（按月支付一次）。成交人必须每月10日前向院方提供详细的物品销售清单，经与院方的收货凭证核对无误院方签字确认后，由成交人按当次结算的实收金额出具合法有效的税务发票，院方收到发票后3个月内一次性付清货款。成交人未开具合法有效的对应金额的发票的，院方有权不支付相应款项。</w:t>
      </w:r>
    </w:p>
    <w:p w14:paraId="6E6A1D03">
      <w:pPr>
        <w:numPr>
          <w:ilvl w:val="0"/>
          <w:numId w:val="0"/>
        </w:numPr>
        <w:ind w:leftChars="0"/>
        <w:jc w:val="left"/>
        <w:rPr>
          <w:rFonts w:hint="default" w:ascii="宋体" w:hAnsi="宋体" w:eastAsia="宋体" w:cs="宋体"/>
          <w:color w:val="auto"/>
          <w:sz w:val="32"/>
          <w:szCs w:val="32"/>
          <w:lang w:val="en-US" w:eastAsia="zh-CN"/>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73830"/>
    <w:multiLevelType w:val="singleLevel"/>
    <w:tmpl w:val="CB273830"/>
    <w:lvl w:ilvl="0" w:tentative="0">
      <w:start w:val="1"/>
      <w:numFmt w:val="decimal"/>
      <w:suff w:val="nothing"/>
      <w:lvlText w:val="%1、"/>
      <w:lvlJc w:val="left"/>
    </w:lvl>
  </w:abstractNum>
  <w:abstractNum w:abstractNumId="1">
    <w:nsid w:val="52D5631A"/>
    <w:multiLevelType w:val="singleLevel"/>
    <w:tmpl w:val="52D5631A"/>
    <w:lvl w:ilvl="0" w:tentative="0">
      <w:start w:val="1"/>
      <w:numFmt w:val="chineseCounting"/>
      <w:suff w:val="nothing"/>
      <w:lvlText w:val="%1、"/>
      <w:lvlJc w:val="left"/>
      <w:rPr>
        <w:rFonts w:hint="eastAsia"/>
      </w:rPr>
    </w:lvl>
  </w:abstractNum>
  <w:abstractNum w:abstractNumId="2">
    <w:nsid w:val="6AE58CF8"/>
    <w:multiLevelType w:val="singleLevel"/>
    <w:tmpl w:val="6AE58CF8"/>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2875833"/>
    <w:rsid w:val="0295277A"/>
    <w:rsid w:val="04B12A3B"/>
    <w:rsid w:val="06B24608"/>
    <w:rsid w:val="08452E36"/>
    <w:rsid w:val="0D786C00"/>
    <w:rsid w:val="0E3E18A1"/>
    <w:rsid w:val="0F046191"/>
    <w:rsid w:val="13321E02"/>
    <w:rsid w:val="145F4324"/>
    <w:rsid w:val="24D14852"/>
    <w:rsid w:val="27657FB0"/>
    <w:rsid w:val="2B7A107D"/>
    <w:rsid w:val="2B837F3D"/>
    <w:rsid w:val="2C5541E2"/>
    <w:rsid w:val="35AC681C"/>
    <w:rsid w:val="39D904C3"/>
    <w:rsid w:val="528D47EC"/>
    <w:rsid w:val="558A64FA"/>
    <w:rsid w:val="560E087A"/>
    <w:rsid w:val="69095760"/>
    <w:rsid w:val="6967348A"/>
    <w:rsid w:val="6D717C1E"/>
    <w:rsid w:val="6F79710B"/>
    <w:rsid w:val="6FA73B9E"/>
    <w:rsid w:val="6FFB3A44"/>
    <w:rsid w:val="74F91C79"/>
    <w:rsid w:val="7B795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sz w:val="28"/>
      <w:szCs w:val="28"/>
    </w:rPr>
  </w:style>
  <w:style w:type="paragraph" w:styleId="3">
    <w:name w:val="Normal (Web)"/>
    <w:basedOn w:val="1"/>
    <w:qFormat/>
    <w:uiPriority w:val="99"/>
    <w:pPr>
      <w:spacing w:before="100" w:beforeAutospacing="1" w:after="100" w:afterAutospacing="1"/>
      <w:jc w:val="left"/>
    </w:pPr>
    <w:rPr>
      <w:rFonts w:ascii="Times New Roman" w:hAnsi="Times New Roman" w:eastAsia="宋体"/>
      <w:kern w:val="0"/>
      <w:sz w:val="24"/>
    </w:rPr>
  </w:style>
  <w:style w:type="character" w:customStyle="1" w:styleId="6">
    <w:name w:val="font51"/>
    <w:basedOn w:val="5"/>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2711</Words>
  <Characters>2895</Characters>
  <Lines>0</Lines>
  <Paragraphs>0</Paragraphs>
  <TotalTime>4</TotalTime>
  <ScaleCrop>false</ScaleCrop>
  <LinksUpToDate>false</LinksUpToDate>
  <CharactersWithSpaces>2906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秋秋</cp:lastModifiedBy>
  <dcterms:modified xsi:type="dcterms:W3CDTF">2025-04-27T07:35:55Z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5B671BF8D1134BF099C743CDED97F43C_13</vt:lpwstr>
  </property>
  <property fmtid="{D5CDD505-2E9C-101B-9397-08002B2CF9AE}" pid="4" name="KSOTemplateDocerSaveRecord">
    <vt:lpwstr>eyJoZGlkIjoiY2Q2MjU2MzMxMTIyNzIyYTQyZjg1OTZhMmRkYzhlY2QiLCJ1c2VySWQiOiI0MTcxNjY3MTMifQ==</vt:lpwstr>
  </property>
</Properties>
</file>