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53F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line="240" w:lineRule="auto"/>
        <w:ind w:left="0" w:firstLine="0"/>
        <w:jc w:val="center"/>
        <w:textAlignment w:val="baseline"/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eastAsia="黑体" w:asciiTheme="minorEastAsia" w:hAnsiTheme="minorEastAsia" w:cstheme="minorEastAsia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中山大学附属第一医院广西医院</w:t>
      </w:r>
      <w:r>
        <w:rPr>
          <w:rFonts w:hint="eastAsia" w:eastAsia="黑体" w:asciiTheme="minorEastAsia" w:hAnsiTheme="minorEastAsia" w:cstheme="minorEastAsia"/>
          <w:b/>
          <w:bCs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非</w:t>
      </w:r>
      <w:r>
        <w:rPr>
          <w:rFonts w:hint="eastAsia" w:eastAsia="黑体" w:asciiTheme="minorEastAsia" w:hAnsiTheme="minorEastAsia" w:cstheme="minorEastAsia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生鲜</w:t>
      </w: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eastAsia="黑体" w:asciiTheme="minorEastAsia" w:hAnsiTheme="minorEastAsia" w:cstheme="minorEastAsia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类采购</w:t>
      </w: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及配送服务</w:t>
      </w:r>
      <w:r>
        <w:rPr>
          <w:rFonts w:hint="eastAsia" w:eastAsia="黑体" w:asciiTheme="minorEastAsia" w:hAnsiTheme="minorEastAsia" w:cstheme="minorEastAsia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评分标准</w:t>
      </w:r>
    </w:p>
    <w:p w14:paraId="51F6B4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line="400" w:lineRule="exact"/>
        <w:ind w:left="0" w:firstLine="0"/>
        <w:jc w:val="both"/>
        <w:textAlignment w:val="baseline"/>
        <w:rPr>
          <w:rFonts w:hint="default"/>
          <w:sz w:val="22"/>
          <w:szCs w:val="16"/>
          <w:lang w:val="en-US" w:eastAsia="zh-CN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适用于：粮油类、饭盒和袋子类、调料和干杂类、杂货（洗洁精）、杂货（厨具）、日用品类、零食类、饮料类、奶类及奶制品类</w:t>
      </w:r>
    </w:p>
    <w:tbl>
      <w:tblPr>
        <w:tblStyle w:val="5"/>
        <w:tblpPr w:leftFromText="180" w:rightFromText="180" w:vertAnchor="text" w:horzAnchor="page" w:tblpX="1458" w:tblpY="282"/>
        <w:tblOverlap w:val="never"/>
        <w:tblW w:w="93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7473"/>
        <w:gridCol w:w="962"/>
      </w:tblGrid>
      <w:tr w14:paraId="4CD57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4783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7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E2085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评分内容</w:t>
            </w: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BC25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分值</w:t>
            </w:r>
          </w:p>
        </w:tc>
      </w:tr>
      <w:tr w14:paraId="45FD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2517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一、价格评分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 w14:paraId="575BB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5818E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价格分</w:t>
            </w:r>
          </w:p>
        </w:tc>
        <w:tc>
          <w:tcPr>
            <w:tcW w:w="7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53F62">
            <w:pPr>
              <w:widowControl/>
              <w:numPr>
                <w:ilvl w:val="-1"/>
                <w:numId w:val="0"/>
              </w:numPr>
              <w:wordWrap/>
              <w:ind w:firstLine="48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定价规则</w:t>
            </w:r>
          </w:p>
          <w:p w14:paraId="45EAA8F1">
            <w:pPr>
              <w:widowControl/>
              <w:numPr>
                <w:ilvl w:val="-1"/>
                <w:numId w:val="0"/>
              </w:numPr>
              <w:wordWrap/>
              <w:ind w:firstLine="48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报价方式：按下浮系数报价，实际结算价=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供货价格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×（1-下浮系数），合同期内下浮系数不变。</w:t>
            </w:r>
          </w:p>
          <w:p w14:paraId="13F618DF">
            <w:pPr>
              <w:numPr>
                <w:ilvl w:val="-1"/>
                <w:numId w:val="0"/>
              </w:numPr>
              <w:ind w:left="0" w:leftChars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评分规则 </w:t>
            </w:r>
          </w:p>
          <w:p w14:paraId="5507DAC8">
            <w:pPr>
              <w:numPr>
                <w:ilvl w:val="0"/>
                <w:numId w:val="1"/>
              </w:numPr>
              <w:ind w:left="0" w:leftChars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基准价：有效报价中最高下浮系数对应的报价（如A下浮20%，B下浮50%，则基准价为B的50%）。</w:t>
            </w:r>
          </w:p>
          <w:p w14:paraId="25313352">
            <w:pPr>
              <w:numPr>
                <w:ilvl w:val="0"/>
                <w:numId w:val="1"/>
              </w:numPr>
              <w:ind w:left="0" w:leftChars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得分计算：价格分 =（基准价下浮系数 /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响应人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下浮系数）×35分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 w14:paraId="47EF2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如评审小组认定响应报价明显偏离市场合理区间，供应商需出具书面材料进行解释说明，经评审小组审核通过后方可视作有效报价，否则视作无效报价。</w:t>
            </w:r>
          </w:p>
          <w:p w14:paraId="7988ED01">
            <w:pPr>
              <w:widowControl/>
              <w:wordWrap/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计算分值时，百分比按四舍五入原则，保留小数点后两位数。</w:t>
            </w: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8E540">
            <w:pPr>
              <w:widowControl/>
              <w:wordWrap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 w14:paraId="42A3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3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30D78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二、技术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服务分65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 w14:paraId="186F8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C263E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供应货品安全措施</w:t>
            </w:r>
          </w:p>
          <w:p w14:paraId="0A6A73FE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9EFF6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评审小组根据供应商提供的供应货品安全措施内容方面进行评价。包括进货采购渠道、供应货品控制管理措施、供应货品质量标准、追溯方式等情况进行比较综合评分。</w:t>
            </w:r>
          </w:p>
          <w:p w14:paraId="2CC728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一档（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分）：对进货采购渠道虽有固定货源但不稳定，供应货品控制管理措施不完善，质量安全保证措施有针对性但不明显，无服务特点，方案基本完整、供应货品质量标准、追溯方式这几个方面描述简单或不完善；</w:t>
            </w:r>
          </w:p>
          <w:p w14:paraId="462ED32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二档（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分）：对进货采购渠道有固定货源且货源稳定，供应货品控制管理措施比较完善，质量安全保证措施有针对性但不突出，服务特点较明确，方案有一定的针对性，供应货品质量标准、追溯方式这几个方面描述较清晰、较详细；</w:t>
            </w:r>
          </w:p>
          <w:p w14:paraId="676BC7A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三档（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分）：对进货采购渠道有固定货源且货源稳定，供应货品控制管理措施完善，质量安全保证措施比较有针对性和服务特点，方案较完整、较具体，供应货品质量标准、追溯方式这几个方面描述清晰，详细；</w:t>
            </w:r>
          </w:p>
          <w:p w14:paraId="01A0CC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四档（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分）：对进货采购渠道有固定货源且货源稳定充足，供应货品控制管理措施完善，质量安全保证措施有针对性和服务特点，方案完整、清晰、具体、科学、合理、切实可行，供应货品质量标准、追溯方式这几个方面全部描述清晰，详细。</w:t>
            </w:r>
          </w:p>
        </w:tc>
        <w:tc>
          <w:tcPr>
            <w:tcW w:w="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50241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 w14:paraId="18441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70296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3、配送方案</w:t>
            </w:r>
          </w:p>
        </w:tc>
        <w:tc>
          <w:tcPr>
            <w:tcW w:w="7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8ED766">
            <w:pPr>
              <w:widowControl/>
              <w:wordWrap w:val="0"/>
              <w:ind w:firstLine="64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由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评审小组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在打分前根据各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响应人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的配送方案确定各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响应人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所属档次并打分，达不到一档要求的不得分。</w:t>
            </w:r>
          </w:p>
          <w:p w14:paraId="34D0393B">
            <w:pPr>
              <w:widowControl/>
              <w:wordWrap w:val="0"/>
              <w:ind w:firstLine="64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一档(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分)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配送服务方案基本满足要求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配送计划、配送路线、进度控制措施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、描述简单，基本保证配送服务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对问题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供应货品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发生紧急事件处理预案内容差、基本可行的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 w14:paraId="0CB732D9">
            <w:pPr>
              <w:widowControl/>
              <w:wordWrap w:val="0"/>
              <w:ind w:firstLine="64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二档(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分)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项目配送体系、供货时间安排合理，有较完善的配送服务方案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配送计划、配送路线、进度控制措施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，描述较详细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具体实施步骤和要求描述较详细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有具体的配送服务承诺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需提供承诺函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）；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在保证配送服务业务外有机动人员用于对紧急事件处理，对配送及应急处理响应快，对问题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供应货品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发生紧急事件处理预案内容具体，有一定针对性;</w:t>
            </w:r>
          </w:p>
          <w:p w14:paraId="690A17CE">
            <w:pPr>
              <w:widowControl/>
              <w:wordWrap w:val="0"/>
              <w:ind w:firstLine="64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三档(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分)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配送工作体系健全完善，配送供货时间安排科学合理，针对项目实际情况，能提供全面细致、可靠的管理制度、配送服务方案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配送计划、配送路线、进度控制措施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，描述详细，具体实施步骤和要求描述全面，可行性强，充分优于本项目需求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具有明确有具体时间的配送服务承诺 （能承诺说明各个阶段工作安排）及被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评审小组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认可的增值服务承诺的，方案可行高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工作计划周密，人员配备充足，能提供合理的验收方案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对问题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供应货品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发生紧急事件处理预案内容的具体、全面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DF257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 w14:paraId="7EF07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408A">
            <w:pPr>
              <w:widowControl/>
              <w:numPr>
                <w:ilvl w:val="0"/>
                <w:numId w:val="0"/>
              </w:numPr>
              <w:wordWrap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4、售后服务方案</w:t>
            </w:r>
          </w:p>
        </w:tc>
        <w:tc>
          <w:tcPr>
            <w:tcW w:w="7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368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评审小组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响应人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提供的售后服务方案（包括承诺如何确保按期按质按量供货、出现问题时如何采取相应的措施、如何保障后期服务等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提供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售后服务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承诺函（格式自拟）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）内容进行打分：由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评审小组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在打分前根据各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响应人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的售后服务方案（对售后服务要求的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应急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响应程度及提供的服务承诺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案、售后服务等措施）确定各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响应人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所属档次并打分，达不到一档要求的不得分。</w:t>
            </w:r>
          </w:p>
          <w:p w14:paraId="445B29C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一档（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分）：承诺退换时间不超过 24 小时，服务承诺、措施、后期服务承诺较简单。</w:t>
            </w:r>
          </w:p>
          <w:p w14:paraId="5096E73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二档（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分）：承诺退换时间需 16 小时（含 16 小时），服务承诺、措施可行，后期服务承诺响应满足项目需求，货物出问题时，有相应的解决措施，并明确如何确保退换的货物符合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院方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需求。</w:t>
            </w:r>
          </w:p>
          <w:p w14:paraId="252B7E6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三档（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分）：对因货物出现问题，而对发生紧急事件问题处理预案内容具体、全面，并承诺退换时 间在 8 小时内（含 8 小时），有健全、详细、高效的服务承诺、后期售后服务方式多样有效，措施得力，充分满足项目需求，包括售后服务监督和回访管理、台账管理、售后服务管理及售后服务措施（含对问题物料的处理及特殊情况的应急预案）、其他优惠措施、配送（物流）、货物分发方等方面措施等及其它服务计划，明确如何确保退换的货物符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院方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需求，并配备专门人员为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院方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提供服务，确保接到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院方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通知后 1 小时内响应。</w:t>
            </w: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D085B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20分</w:t>
            </w:r>
          </w:p>
        </w:tc>
      </w:tr>
      <w:tr w14:paraId="60725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86C2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5、商务分</w:t>
            </w:r>
          </w:p>
        </w:tc>
        <w:tc>
          <w:tcPr>
            <w:tcW w:w="7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869B9">
            <w:pPr>
              <w:widowControl/>
              <w:wordWrap w:val="0"/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(1)业绩分(满分5分)响应人自 2022 年以来承担过类似供应货品配送业绩，每一个业绩得1分，满分5分。(响应文件中提供中标(成交)通知书或合同复印件，及合同发票复印件并加盖供应商公章，否则不得分)</w:t>
            </w:r>
          </w:p>
          <w:p w14:paraId="6E8AE038">
            <w:pPr>
              <w:widowControl/>
              <w:wordWrap w:val="0"/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(2)配送能力分(满分3分)。响应人拟投入本项目的配送车辆，每投入一辆普通货车或面包车或其他配送车辆的得1分，满分3分。（响应文件中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提供相关运输车辆的机动车行驶证复印件及运输车辆照片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供应商自有车辆的，提供车辆行驶证；车辆为租赁的，提供车辆行驶证及车辆租用合同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复印件。证明材料需加盖供应商公章，否则不得分）</w:t>
            </w:r>
          </w:p>
          <w:p w14:paraId="719085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left="0"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（3）仓储设施分（满分2分），响应人有固定的仓储设施的得1分；同时仓库与经营场地一致的得1分（提供相关的租赁合同复印件或房产证明材料），满分2分</w:t>
            </w: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C1A3F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10分</w:t>
            </w:r>
          </w:p>
        </w:tc>
      </w:tr>
      <w:tr w14:paraId="706C4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4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508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left="0" w:firstLine="480" w:firstLineChars="20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C97DB"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100分</w:t>
            </w:r>
          </w:p>
        </w:tc>
      </w:tr>
    </w:tbl>
    <w:p w14:paraId="6F0BDD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7B9F2"/>
    <w:multiLevelType w:val="singleLevel"/>
    <w:tmpl w:val="2517B9F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02C8B"/>
    <w:rsid w:val="02F45E3D"/>
    <w:rsid w:val="07172D00"/>
    <w:rsid w:val="07F02C8B"/>
    <w:rsid w:val="0DF552B5"/>
    <w:rsid w:val="1265326C"/>
    <w:rsid w:val="142267D9"/>
    <w:rsid w:val="145304E8"/>
    <w:rsid w:val="215018EE"/>
    <w:rsid w:val="24D42836"/>
    <w:rsid w:val="2FD15A0B"/>
    <w:rsid w:val="34726331"/>
    <w:rsid w:val="3AA86F88"/>
    <w:rsid w:val="528D47EC"/>
    <w:rsid w:val="5B922058"/>
    <w:rsid w:val="5E4F45E9"/>
    <w:rsid w:val="6FDD7AE5"/>
    <w:rsid w:val="71E81AC1"/>
    <w:rsid w:val="79DE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next w:val="2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2205</Words>
  <Characters>2244</Characters>
  <Lines>0</Lines>
  <Paragraphs>0</Paragraphs>
  <TotalTime>25</TotalTime>
  <ScaleCrop>false</ScaleCrop>
  <LinksUpToDate>false</LinksUpToDate>
  <CharactersWithSpaces>2267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2025-03-25T07:34:00Z</dcterms:created>
  <dc:creator>为人民服务</dc:creator>
  <cp:lastModifiedBy>秋秋</cp:lastModifiedBy>
  <dcterms:modified xsi:type="dcterms:W3CDTF">2025-04-28T02:16:41Z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FD9FA3E318EF43A7B04088A7DC5BE5D0_13</vt:lpwstr>
  </property>
  <property fmtid="{D5CDD505-2E9C-101B-9397-08002B2CF9AE}" pid="4" name="KSOTemplateDocerSaveRecord">
    <vt:lpwstr>eyJoZGlkIjoiY2Q2MjU2MzMxMTIyNzIyYTQyZjg1OTZhMmRkYzhlY2QiLCJ1c2VySWQiOiI0MTcxNjY3MTMifQ==</vt:lpwstr>
  </property>
</Properties>
</file>