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230B">
      <w:pPr>
        <w:pStyle w:val="12"/>
        <w:spacing w:after="0" w:line="60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中山大学附属第一医院广西医院</w:t>
      </w:r>
    </w:p>
    <w:p w14:paraId="2B37E1F0">
      <w:pPr>
        <w:pStyle w:val="12"/>
        <w:spacing w:after="0" w:line="60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2025至2026年标准研制</w:t>
      </w:r>
      <w:r>
        <w:rPr>
          <w:rFonts w:hint="eastAsia" w:ascii="方正小标宋_GBK" w:hAnsi="方正小标宋_GBK" w:eastAsia="方正小标宋_GBK" w:cs="方正小标宋_GBK"/>
          <w:sz w:val="44"/>
          <w:szCs w:val="44"/>
          <w:lang w:val="en-US" w:eastAsia="zh-CN"/>
        </w:rPr>
        <w:t>采购</w:t>
      </w:r>
      <w:r>
        <w:rPr>
          <w:rFonts w:hint="eastAsia" w:ascii="方正小标宋_GBK" w:hAnsi="方正小标宋_GBK" w:eastAsia="方正小标宋_GBK" w:cs="方正小标宋_GBK"/>
          <w:sz w:val="44"/>
          <w:szCs w:val="44"/>
        </w:rPr>
        <w:t>需求</w:t>
      </w:r>
    </w:p>
    <w:p w14:paraId="7BBC8862">
      <w:pPr>
        <w:pStyle w:val="12"/>
        <w:spacing w:before="156" w:beforeLines="50" w:after="0" w:line="240" w:lineRule="auto"/>
        <w:ind w:firstLine="643"/>
        <w:rPr>
          <w:rFonts w:ascii="仿宋" w:hAnsi="仿宋" w:eastAsia="仿宋" w:cs="仿宋"/>
          <w:b/>
          <w:bCs/>
          <w:szCs w:val="32"/>
        </w:rPr>
      </w:pPr>
      <w:r>
        <w:rPr>
          <w:rFonts w:hint="eastAsia" w:ascii="仿宋" w:hAnsi="仿宋" w:eastAsia="仿宋" w:cs="仿宋"/>
          <w:b/>
          <w:bCs/>
          <w:szCs w:val="32"/>
        </w:rPr>
        <w:t>一、项目概况</w:t>
      </w:r>
    </w:p>
    <w:p w14:paraId="3017D2CB">
      <w:pPr>
        <w:pStyle w:val="12"/>
        <w:spacing w:after="0" w:line="240" w:lineRule="auto"/>
        <w:ind w:firstLine="640"/>
        <w:rPr>
          <w:rFonts w:ascii="仿宋" w:hAnsi="仿宋" w:eastAsia="仿宋" w:cs="仿宋"/>
          <w:szCs w:val="32"/>
        </w:rPr>
      </w:pPr>
      <w:r>
        <w:rPr>
          <w:rFonts w:hint="eastAsia" w:ascii="仿宋" w:hAnsi="仿宋" w:eastAsia="仿宋" w:cs="仿宋"/>
          <w:szCs w:val="32"/>
        </w:rPr>
        <w:t>（一）采购单位：中山大学附属第一医院广西医院</w:t>
      </w:r>
    </w:p>
    <w:p w14:paraId="5618C084">
      <w:pPr>
        <w:pStyle w:val="12"/>
        <w:spacing w:after="0" w:line="240" w:lineRule="auto"/>
        <w:ind w:firstLine="640"/>
        <w:rPr>
          <w:rFonts w:ascii="仿宋" w:hAnsi="仿宋" w:eastAsia="仿宋" w:cs="仿宋"/>
          <w:szCs w:val="32"/>
        </w:rPr>
      </w:pPr>
      <w:r>
        <w:rPr>
          <w:rFonts w:hint="eastAsia" w:ascii="仿宋" w:hAnsi="仿宋" w:eastAsia="仿宋" w:cs="仿宋"/>
          <w:szCs w:val="32"/>
        </w:rPr>
        <w:t>（二）项目名称：2025至2026年标准研制服务</w:t>
      </w:r>
    </w:p>
    <w:p w14:paraId="33CA27A5">
      <w:pPr>
        <w:pStyle w:val="12"/>
        <w:spacing w:after="0" w:line="240" w:lineRule="auto"/>
        <w:ind w:firstLine="640"/>
        <w:rPr>
          <w:rFonts w:hint="eastAsia" w:ascii="仿宋" w:hAnsi="仿宋" w:eastAsia="仿宋" w:cs="仿宋"/>
          <w:szCs w:val="32"/>
        </w:rPr>
      </w:pPr>
      <w:r>
        <w:rPr>
          <w:rFonts w:hint="eastAsia" w:ascii="仿宋" w:hAnsi="仿宋" w:eastAsia="仿宋" w:cs="仿宋"/>
          <w:szCs w:val="32"/>
        </w:rPr>
        <w:t>（三）项目预算</w:t>
      </w:r>
      <w:r>
        <w:rPr>
          <w:rFonts w:hint="eastAsia" w:ascii="仿宋" w:hAnsi="仿宋" w:eastAsia="仿宋" w:cs="仿宋"/>
          <w:szCs w:val="32"/>
          <w:lang w:eastAsia="zh-CN"/>
        </w:rPr>
        <w:t>：</w:t>
      </w:r>
      <w:r>
        <w:rPr>
          <w:rFonts w:hint="eastAsia" w:ascii="仿宋" w:hAnsi="仿宋" w:eastAsia="仿宋" w:cs="仿宋"/>
          <w:szCs w:val="32"/>
          <w:lang w:val="en-US" w:eastAsia="zh-CN"/>
        </w:rPr>
        <w:t>20</w:t>
      </w:r>
      <w:r>
        <w:rPr>
          <w:rFonts w:hint="eastAsia" w:ascii="仿宋" w:hAnsi="仿宋" w:eastAsia="仿宋" w:cs="仿宋"/>
          <w:szCs w:val="32"/>
        </w:rPr>
        <w:t>万元/年</w:t>
      </w:r>
      <w:r>
        <w:rPr>
          <w:rFonts w:hint="eastAsia" w:ascii="仿宋" w:hAnsi="仿宋" w:eastAsia="仿宋" w:cs="仿宋"/>
          <w:szCs w:val="32"/>
          <w:lang w:eastAsia="zh-CN"/>
        </w:rPr>
        <w:t>（</w:t>
      </w:r>
      <w:r>
        <w:rPr>
          <w:rFonts w:hint="eastAsia" w:ascii="仿宋" w:hAnsi="仿宋" w:eastAsia="仿宋" w:cs="仿宋"/>
          <w:szCs w:val="32"/>
          <w:lang w:val="en-US" w:eastAsia="zh-CN"/>
        </w:rPr>
        <w:t>其中：</w:t>
      </w:r>
      <w:bookmarkStart w:id="1" w:name="_GoBack"/>
      <w:r>
        <w:rPr>
          <w:rFonts w:hint="eastAsia" w:ascii="仿宋" w:hAnsi="仿宋" w:eastAsia="仿宋" w:cs="仿宋"/>
          <w:b/>
          <w:bCs/>
          <w:szCs w:val="32"/>
          <w:lang w:val="en-US" w:eastAsia="zh-CN"/>
        </w:rPr>
        <w:t>企业标准</w:t>
      </w:r>
      <w:r>
        <w:rPr>
          <w:rFonts w:hint="eastAsia" w:ascii="仿宋" w:hAnsi="仿宋" w:eastAsia="仿宋" w:cs="仿宋"/>
          <w:b/>
          <w:bCs/>
          <w:szCs w:val="32"/>
          <w:u w:val="single"/>
          <w:lang w:val="en-US" w:eastAsia="zh-CN"/>
        </w:rPr>
        <w:t>5000</w:t>
      </w:r>
      <w:r>
        <w:rPr>
          <w:rFonts w:hint="eastAsia" w:ascii="仿宋" w:hAnsi="仿宋" w:eastAsia="仿宋" w:cs="仿宋"/>
          <w:b/>
          <w:bCs/>
          <w:szCs w:val="32"/>
          <w:lang w:val="en-US" w:eastAsia="zh-CN"/>
        </w:rPr>
        <w:t>元/项，团体标准</w:t>
      </w:r>
      <w:r>
        <w:rPr>
          <w:rFonts w:hint="eastAsia" w:ascii="仿宋" w:hAnsi="仿宋" w:eastAsia="仿宋" w:cs="仿宋"/>
          <w:b/>
          <w:bCs/>
          <w:szCs w:val="32"/>
          <w:u w:val="single"/>
          <w:lang w:val="en-US" w:eastAsia="zh-CN"/>
        </w:rPr>
        <w:t>32000</w:t>
      </w:r>
      <w:r>
        <w:rPr>
          <w:rFonts w:hint="eastAsia" w:ascii="仿宋" w:hAnsi="仿宋" w:eastAsia="仿宋" w:cs="仿宋"/>
          <w:b/>
          <w:bCs/>
          <w:szCs w:val="32"/>
          <w:lang w:val="en-US" w:eastAsia="zh-CN"/>
        </w:rPr>
        <w:t>元/项，地方标准</w:t>
      </w:r>
      <w:r>
        <w:rPr>
          <w:rFonts w:hint="eastAsia" w:ascii="仿宋" w:hAnsi="仿宋" w:eastAsia="仿宋" w:cs="仿宋"/>
          <w:b/>
          <w:bCs/>
          <w:szCs w:val="32"/>
          <w:u w:val="single"/>
          <w:lang w:val="en-US" w:eastAsia="zh-CN"/>
        </w:rPr>
        <w:t>80000</w:t>
      </w:r>
      <w:r>
        <w:rPr>
          <w:rFonts w:hint="eastAsia" w:ascii="仿宋" w:hAnsi="仿宋" w:eastAsia="仿宋" w:cs="仿宋"/>
          <w:b/>
          <w:bCs/>
          <w:szCs w:val="32"/>
          <w:lang w:val="en-US" w:eastAsia="zh-CN"/>
        </w:rPr>
        <w:t>元/项</w:t>
      </w:r>
      <w:bookmarkEnd w:id="1"/>
      <w:r>
        <w:rPr>
          <w:rFonts w:hint="eastAsia" w:ascii="仿宋" w:hAnsi="仿宋" w:eastAsia="仿宋" w:cs="仿宋"/>
          <w:szCs w:val="32"/>
          <w:lang w:eastAsia="zh-CN"/>
        </w:rPr>
        <w:t>）</w:t>
      </w:r>
    </w:p>
    <w:p w14:paraId="3A32D398">
      <w:pPr>
        <w:pStyle w:val="12"/>
        <w:spacing w:after="0" w:line="240" w:lineRule="auto"/>
        <w:ind w:firstLine="640"/>
        <w:rPr>
          <w:rFonts w:hint="default" w:ascii="仿宋" w:hAnsi="仿宋" w:eastAsia="仿宋" w:cs="仿宋"/>
          <w:szCs w:val="32"/>
          <w:lang w:val="en-US" w:eastAsia="zh-CN"/>
        </w:rPr>
      </w:pPr>
      <w:r>
        <w:rPr>
          <w:rFonts w:hint="eastAsia" w:ascii="仿宋" w:hAnsi="仿宋" w:eastAsia="仿宋" w:cs="仿宋"/>
          <w:szCs w:val="32"/>
          <w:lang w:eastAsia="zh-CN"/>
        </w:rPr>
        <w:t>（</w:t>
      </w:r>
      <w:r>
        <w:rPr>
          <w:rFonts w:hint="eastAsia" w:ascii="仿宋" w:hAnsi="仿宋" w:eastAsia="仿宋" w:cs="仿宋"/>
          <w:szCs w:val="32"/>
          <w:lang w:val="en-US" w:eastAsia="zh-CN"/>
        </w:rPr>
        <w:t>四</w:t>
      </w:r>
      <w:r>
        <w:rPr>
          <w:rFonts w:hint="eastAsia" w:ascii="仿宋" w:hAnsi="仿宋" w:eastAsia="仿宋" w:cs="仿宋"/>
          <w:szCs w:val="32"/>
          <w:lang w:eastAsia="zh-CN"/>
        </w:rPr>
        <w:t>）</w:t>
      </w:r>
      <w:r>
        <w:rPr>
          <w:rFonts w:hint="eastAsia" w:ascii="仿宋" w:hAnsi="仿宋" w:eastAsia="仿宋" w:cs="仿宋"/>
          <w:szCs w:val="32"/>
          <w:lang w:val="en-US" w:eastAsia="zh-CN"/>
        </w:rPr>
        <w:t>采购方式：</w:t>
      </w:r>
      <w:r>
        <w:rPr>
          <w:rFonts w:hint="eastAsia" w:ascii="仿宋" w:hAnsi="仿宋" w:eastAsia="仿宋" w:cs="仿宋"/>
          <w:b/>
          <w:bCs/>
          <w:szCs w:val="32"/>
          <w:lang w:val="en-US" w:eastAsia="zh-CN"/>
        </w:rPr>
        <w:t>院内遴选</w:t>
      </w:r>
    </w:p>
    <w:p w14:paraId="035E9F93">
      <w:pPr>
        <w:pStyle w:val="12"/>
        <w:spacing w:after="0" w:line="240" w:lineRule="auto"/>
        <w:ind w:firstLine="640"/>
        <w:rPr>
          <w:rFonts w:ascii="仿宋" w:hAnsi="仿宋" w:eastAsia="仿宋" w:cs="仿宋"/>
          <w:szCs w:val="32"/>
        </w:rPr>
      </w:pPr>
      <w:r>
        <w:rPr>
          <w:rFonts w:hint="eastAsia" w:ascii="仿宋" w:hAnsi="仿宋" w:eastAsia="仿宋" w:cs="仿宋"/>
          <w:szCs w:val="32"/>
        </w:rPr>
        <w:t>（五）项目地点：广西壮族自治区南宁市青秀区佛子岭路3号</w:t>
      </w:r>
    </w:p>
    <w:p w14:paraId="396C9C92">
      <w:pPr>
        <w:pStyle w:val="12"/>
        <w:spacing w:after="0" w:line="240" w:lineRule="auto"/>
        <w:ind w:firstLine="64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eastAsia="zh-CN"/>
        </w:rPr>
        <w:t>六</w:t>
      </w:r>
      <w:r>
        <w:rPr>
          <w:rFonts w:hint="eastAsia" w:ascii="仿宋" w:hAnsi="仿宋" w:eastAsia="仿宋" w:cs="仿宋"/>
          <w:szCs w:val="32"/>
        </w:rPr>
        <w:t>）项目服务内容：</w:t>
      </w:r>
      <w:r>
        <w:rPr>
          <w:rFonts w:hint="eastAsia" w:ascii="仿宋" w:hAnsi="仿宋" w:eastAsia="仿宋" w:cs="仿宋"/>
          <w:szCs w:val="32"/>
          <w:lang w:val="en-US" w:eastAsia="zh-CN"/>
        </w:rPr>
        <w:t>提供</w:t>
      </w:r>
      <w:r>
        <w:rPr>
          <w:rFonts w:hint="eastAsia" w:ascii="仿宋" w:hAnsi="仿宋" w:eastAsia="仿宋" w:cs="仿宋"/>
          <w:szCs w:val="32"/>
        </w:rPr>
        <w:t>企业标准、团体标准、地方标准的研制服务（包括但不限于立项、起草、编制标准、征求意见、审定、发布、宣贯和培训）等其他与标准化相关的服务。</w:t>
      </w:r>
    </w:p>
    <w:p w14:paraId="203B5988">
      <w:pPr>
        <w:pStyle w:val="12"/>
        <w:spacing w:after="0" w:line="240" w:lineRule="auto"/>
        <w:ind w:firstLine="643"/>
        <w:rPr>
          <w:rFonts w:ascii="仿宋" w:hAnsi="仿宋" w:eastAsia="仿宋" w:cs="仿宋"/>
          <w:b/>
          <w:bCs/>
          <w:szCs w:val="32"/>
        </w:rPr>
      </w:pPr>
      <w:r>
        <w:rPr>
          <w:rFonts w:hint="eastAsia" w:ascii="仿宋" w:hAnsi="仿宋" w:eastAsia="仿宋" w:cs="仿宋"/>
          <w:b/>
          <w:bCs/>
          <w:szCs w:val="32"/>
        </w:rPr>
        <w:t>二、资质要求</w:t>
      </w:r>
    </w:p>
    <w:p w14:paraId="4B7BCB2D">
      <w:pPr>
        <w:pStyle w:val="12"/>
        <w:spacing w:after="0" w:line="240" w:lineRule="auto"/>
        <w:ind w:firstLine="640"/>
        <w:rPr>
          <w:rFonts w:ascii="仿宋" w:hAnsi="仿宋" w:eastAsia="仿宋" w:cs="仿宋"/>
          <w:szCs w:val="32"/>
        </w:rPr>
      </w:pPr>
      <w:r>
        <w:rPr>
          <w:rFonts w:hint="eastAsia" w:ascii="仿宋" w:hAnsi="仿宋" w:eastAsia="仿宋" w:cs="仿宋"/>
          <w:szCs w:val="32"/>
        </w:rPr>
        <w:t>（一）具有国内独立法人资格,注册经营范围满足本项目内容的供应商。</w:t>
      </w:r>
    </w:p>
    <w:p w14:paraId="2F6DBDB6">
      <w:pPr>
        <w:pStyle w:val="12"/>
        <w:spacing w:after="0" w:line="240" w:lineRule="auto"/>
        <w:ind w:firstLine="640"/>
        <w:rPr>
          <w:rFonts w:ascii="仿宋" w:hAnsi="仿宋" w:eastAsia="仿宋" w:cs="仿宋"/>
          <w:szCs w:val="32"/>
        </w:rPr>
      </w:pPr>
      <w:r>
        <w:rPr>
          <w:rFonts w:hint="eastAsia" w:ascii="仿宋" w:hAnsi="仿宋" w:eastAsia="仿宋" w:cs="仿宋"/>
          <w:szCs w:val="32"/>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2D4026C">
      <w:pPr>
        <w:pStyle w:val="12"/>
        <w:spacing w:after="0" w:line="240" w:lineRule="auto"/>
        <w:ind w:firstLine="640"/>
        <w:rPr>
          <w:rFonts w:ascii="仿宋" w:hAnsi="仿宋" w:eastAsia="仿宋" w:cs="仿宋"/>
          <w:szCs w:val="32"/>
        </w:rPr>
      </w:pPr>
      <w:r>
        <w:rPr>
          <w:rFonts w:hint="eastAsia" w:ascii="仿宋" w:hAnsi="仿宋" w:eastAsia="仿宋" w:cs="仿宋"/>
          <w:szCs w:val="32"/>
        </w:rPr>
        <w:t>（三）本项目不接受联合体报名。</w:t>
      </w:r>
    </w:p>
    <w:p w14:paraId="0066A68C">
      <w:pPr>
        <w:pStyle w:val="12"/>
        <w:spacing w:after="0" w:line="240" w:lineRule="auto"/>
        <w:ind w:firstLine="640"/>
        <w:rPr>
          <w:rFonts w:ascii="仿宋" w:hAnsi="仿宋" w:eastAsia="仿宋" w:cs="仿宋"/>
          <w:szCs w:val="32"/>
        </w:rPr>
      </w:pPr>
      <w:r>
        <w:rPr>
          <w:rFonts w:hint="eastAsia" w:ascii="仿宋" w:hAnsi="仿宋" w:eastAsia="仿宋" w:cs="仿宋"/>
          <w:szCs w:val="32"/>
        </w:rPr>
        <w:t>（四）供应商投入的专业人员和专业结构上满足项目需求；项目负责人应有本科及以上学历，参加制定地方标准或自治区级以上（含自治区级）社会团体发布的团体标准；拟投入团队人员≥3人，其中至少1人应具有参与制定过地方标准或团体标准的相关经验。</w:t>
      </w:r>
    </w:p>
    <w:p w14:paraId="4F19F73F">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三、项目具体要求</w:t>
      </w:r>
    </w:p>
    <w:p w14:paraId="4CDE787E">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）服务时间：一年。</w:t>
      </w:r>
    </w:p>
    <w:p w14:paraId="605CA381">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）报价中应包括</w:t>
      </w:r>
      <w:r>
        <w:rPr>
          <w:rFonts w:hint="eastAsia" w:ascii="仿宋" w:hAnsi="仿宋" w:eastAsia="仿宋" w:cs="仿宋"/>
          <w:b/>
          <w:bCs/>
          <w:sz w:val="32"/>
          <w:szCs w:val="32"/>
          <w:lang w:val="en-US" w:eastAsia="zh-CN"/>
        </w:rPr>
        <w:t>印刷费、</w:t>
      </w:r>
      <w:r>
        <w:rPr>
          <w:rFonts w:hint="eastAsia" w:ascii="仿宋" w:hAnsi="仿宋" w:eastAsia="仿宋" w:cs="仿宋"/>
          <w:b/>
          <w:bCs/>
          <w:sz w:val="32"/>
          <w:szCs w:val="32"/>
          <w:lang w:eastAsia="zh-CN"/>
        </w:rPr>
        <w:t>培训费、咨询专家劳务费、咨询专家交通费、咨询专家食宿费、业务费、聘请专家、劳务费、远程交通费、住宿费、税金，供应商应认真计算可能发生的各相关费用并计入投标报价内，在项目实施过程中不得借此要求增加任何费用。</w:t>
      </w:r>
    </w:p>
    <w:p w14:paraId="19A3FAC3">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付款方式：一次性付款</w:t>
      </w:r>
    </w:p>
    <w:p w14:paraId="6C173233">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）技术要求</w:t>
      </w:r>
    </w:p>
    <w:tbl>
      <w:tblPr>
        <w:tblStyle w:val="49"/>
        <w:tblW w:w="9711"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113"/>
        <w:gridCol w:w="7911"/>
      </w:tblGrid>
      <w:tr w14:paraId="6795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blHeader/>
        </w:trPr>
        <w:tc>
          <w:tcPr>
            <w:tcW w:w="687" w:type="dxa"/>
            <w:shd w:val="clear" w:color="auto" w:fill="auto"/>
            <w:vAlign w:val="center"/>
          </w:tcPr>
          <w:p w14:paraId="6EEE3C69">
            <w:pPr>
              <w:pStyle w:val="48"/>
              <w:spacing w:before="69" w:line="221" w:lineRule="auto"/>
              <w:jc w:val="center"/>
              <w:rPr>
                <w:b/>
                <w:bCs/>
                <w:spacing w:val="-3"/>
                <w:sz w:val="24"/>
                <w:szCs w:val="24"/>
                <w:lang w:eastAsia="zh-CN"/>
              </w:rPr>
            </w:pPr>
            <w:r>
              <w:rPr>
                <w:rFonts w:hint="eastAsia"/>
                <w:b/>
                <w:bCs/>
                <w:spacing w:val="-3"/>
                <w:sz w:val="24"/>
                <w:szCs w:val="24"/>
                <w:lang w:eastAsia="zh-CN"/>
              </w:rPr>
              <w:t>序号</w:t>
            </w:r>
          </w:p>
        </w:tc>
        <w:tc>
          <w:tcPr>
            <w:tcW w:w="1113" w:type="dxa"/>
            <w:shd w:val="clear" w:color="auto" w:fill="auto"/>
            <w:vAlign w:val="center"/>
          </w:tcPr>
          <w:p w14:paraId="4E69EC24">
            <w:pPr>
              <w:pStyle w:val="48"/>
              <w:spacing w:before="69" w:line="221" w:lineRule="auto"/>
              <w:jc w:val="center"/>
              <w:rPr>
                <w:b/>
                <w:bCs/>
                <w:sz w:val="24"/>
                <w:szCs w:val="24"/>
              </w:rPr>
            </w:pPr>
            <w:r>
              <w:rPr>
                <w:b/>
                <w:bCs/>
                <w:spacing w:val="-3"/>
                <w:sz w:val="24"/>
                <w:szCs w:val="24"/>
              </w:rPr>
              <w:t>项目名称</w:t>
            </w:r>
          </w:p>
        </w:tc>
        <w:tc>
          <w:tcPr>
            <w:tcW w:w="7911" w:type="dxa"/>
            <w:vAlign w:val="center"/>
          </w:tcPr>
          <w:p w14:paraId="2E30DD25">
            <w:pPr>
              <w:pStyle w:val="48"/>
              <w:spacing w:before="69" w:line="221" w:lineRule="auto"/>
              <w:jc w:val="center"/>
            </w:pPr>
            <w:r>
              <w:rPr>
                <w:rFonts w:hint="eastAsia"/>
                <w:b/>
                <w:sz w:val="24"/>
              </w:rPr>
              <w:t>具体技术要求</w:t>
            </w:r>
          </w:p>
        </w:tc>
      </w:tr>
      <w:tr w14:paraId="3D7E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4" w:hRule="atLeast"/>
        </w:trPr>
        <w:tc>
          <w:tcPr>
            <w:tcW w:w="687" w:type="dxa"/>
            <w:vAlign w:val="center"/>
          </w:tcPr>
          <w:p w14:paraId="682365A5">
            <w:pPr>
              <w:pStyle w:val="48"/>
              <w:spacing w:before="146" w:line="221" w:lineRule="auto"/>
              <w:ind w:left="128"/>
              <w:jc w:val="center"/>
              <w:rPr>
                <w:spacing w:val="-2"/>
                <w:lang w:eastAsia="zh-CN"/>
              </w:rPr>
            </w:pPr>
            <w:r>
              <w:rPr>
                <w:rFonts w:hint="eastAsia"/>
                <w:spacing w:val="-2"/>
                <w:lang w:eastAsia="zh-CN"/>
              </w:rPr>
              <w:t>1</w:t>
            </w:r>
          </w:p>
        </w:tc>
        <w:tc>
          <w:tcPr>
            <w:tcW w:w="1113" w:type="dxa"/>
            <w:vAlign w:val="center"/>
          </w:tcPr>
          <w:p w14:paraId="6186E7B7">
            <w:pPr>
              <w:spacing w:line="247" w:lineRule="auto"/>
              <w:jc w:val="both"/>
              <w:rPr>
                <w:rFonts w:ascii="Arial"/>
                <w:sz w:val="21"/>
              </w:rPr>
            </w:pPr>
          </w:p>
          <w:p w14:paraId="63F7FABF">
            <w:pPr>
              <w:pStyle w:val="48"/>
              <w:spacing w:before="68" w:line="221" w:lineRule="auto"/>
              <w:ind w:left="128"/>
              <w:jc w:val="both"/>
            </w:pPr>
            <w:r>
              <w:rPr>
                <w:rFonts w:hint="eastAsia"/>
                <w:spacing w:val="-2"/>
                <w:lang w:eastAsia="zh-CN"/>
              </w:rPr>
              <w:t>企业</w:t>
            </w:r>
            <w:r>
              <w:rPr>
                <w:spacing w:val="-2"/>
              </w:rPr>
              <w:t>标准</w:t>
            </w:r>
          </w:p>
          <w:p w14:paraId="5FABBA16">
            <w:pPr>
              <w:pStyle w:val="48"/>
              <w:spacing w:before="146" w:line="221" w:lineRule="auto"/>
              <w:ind w:left="128"/>
              <w:jc w:val="both"/>
            </w:pPr>
            <w:r>
              <w:rPr>
                <w:spacing w:val="-2"/>
              </w:rPr>
              <w:t>研制服务</w:t>
            </w:r>
          </w:p>
        </w:tc>
        <w:tc>
          <w:tcPr>
            <w:tcW w:w="7911" w:type="dxa"/>
          </w:tcPr>
          <w:p w14:paraId="169146B5">
            <w:pPr>
              <w:pStyle w:val="48"/>
              <w:spacing w:after="40" w:line="221" w:lineRule="auto"/>
              <w:ind w:left="548"/>
              <w:rPr>
                <w:b/>
                <w:bCs/>
                <w:lang w:eastAsia="zh-CN"/>
              </w:rPr>
            </w:pPr>
            <w:r>
              <w:rPr>
                <w:b/>
                <w:bCs/>
                <w:spacing w:val="-4"/>
                <w:lang w:eastAsia="zh-CN"/>
              </w:rPr>
              <w:t>1.预研</w:t>
            </w:r>
          </w:p>
          <w:p w14:paraId="62EDA858">
            <w:pPr>
              <w:pStyle w:val="48"/>
              <w:spacing w:after="40" w:line="352" w:lineRule="auto"/>
              <w:ind w:left="113" w:right="105" w:firstLine="419"/>
              <w:rPr>
                <w:rFonts w:hint="eastAsia"/>
                <w:spacing w:val="-4"/>
                <w:lang w:eastAsia="zh-CN"/>
              </w:rPr>
            </w:pPr>
            <w:r>
              <w:rPr>
                <w:rFonts w:hint="eastAsia"/>
                <w:spacing w:val="-4"/>
                <w:lang w:eastAsia="zh-CN"/>
              </w:rPr>
              <w:t>组织工作人员深入</w:t>
            </w:r>
            <w:r>
              <w:rPr>
                <w:rFonts w:hint="eastAsia"/>
                <w:spacing w:val="-4"/>
                <w:lang w:val="en-US" w:eastAsia="zh-CN"/>
              </w:rPr>
              <w:t>甲方</w:t>
            </w:r>
            <w:r>
              <w:rPr>
                <w:rFonts w:hint="eastAsia"/>
                <w:spacing w:val="-4"/>
                <w:lang w:eastAsia="zh-CN"/>
              </w:rPr>
              <w:t>进行实地考察，并通过查阅资料等方式，全面收集与本标准相关的信息。这包括：关键技术数据、现有实践材料；</w:t>
            </w:r>
            <w:r>
              <w:rPr>
                <w:rFonts w:hint="eastAsia"/>
                <w:spacing w:val="-4"/>
                <w:lang w:val="en-US" w:eastAsia="zh-CN"/>
              </w:rPr>
              <w:t>甲方单位</w:t>
            </w:r>
            <w:r>
              <w:rPr>
                <w:rFonts w:hint="eastAsia"/>
                <w:spacing w:val="-4"/>
                <w:lang w:eastAsia="zh-CN"/>
              </w:rPr>
              <w:t>的现状、发展方向、需求与期望；</w:t>
            </w:r>
            <w:r>
              <w:rPr>
                <w:rFonts w:hint="eastAsia"/>
                <w:spacing w:val="-4"/>
                <w:lang w:val="en-US" w:eastAsia="zh-CN"/>
              </w:rPr>
              <w:t>甲方</w:t>
            </w:r>
            <w:r>
              <w:rPr>
                <w:rFonts w:hint="eastAsia"/>
                <w:spacing w:val="-4"/>
                <w:lang w:eastAsia="zh-CN"/>
              </w:rPr>
              <w:t>已有的相关技术成果；生产/服务过程及市场反馈的统计资料与技术数据；以及相关的法律、法规、国家标准、行业标准、团体标准等文件。在调研过程中，需指导</w:t>
            </w:r>
            <w:r>
              <w:rPr>
                <w:rFonts w:hint="eastAsia"/>
                <w:spacing w:val="-4"/>
                <w:lang w:val="en-US" w:eastAsia="zh-CN"/>
              </w:rPr>
              <w:t>甲方</w:t>
            </w:r>
            <w:r>
              <w:rPr>
                <w:rFonts w:hint="eastAsia"/>
                <w:spacing w:val="-4"/>
                <w:lang w:eastAsia="zh-CN"/>
              </w:rPr>
              <w:t>根据拟制定标准的对象、内容及适用范围有针对性地开展信息搜集。在此基础上，深入研究并明确本标准的制定目的、意义、适用范围及核心技术内容。</w:t>
            </w:r>
          </w:p>
          <w:p w14:paraId="1E870466">
            <w:pPr>
              <w:pStyle w:val="48"/>
              <w:spacing w:after="40" w:line="220" w:lineRule="auto"/>
              <w:ind w:left="535"/>
              <w:rPr>
                <w:b/>
                <w:bCs/>
                <w:lang w:eastAsia="zh-CN"/>
              </w:rPr>
            </w:pPr>
            <w:r>
              <w:rPr>
                <w:b/>
                <w:bCs/>
                <w:spacing w:val="-2"/>
                <w:lang w:eastAsia="zh-CN"/>
              </w:rPr>
              <w:t>2.标准起草</w:t>
            </w:r>
          </w:p>
          <w:p w14:paraId="1FCA828D">
            <w:pPr>
              <w:pStyle w:val="48"/>
              <w:spacing w:after="40" w:line="352" w:lineRule="auto"/>
              <w:ind w:left="114" w:right="102" w:firstLine="420"/>
              <w:rPr>
                <w:rFonts w:hint="eastAsia"/>
                <w:spacing w:val="-4"/>
                <w:lang w:eastAsia="zh-CN"/>
              </w:rPr>
            </w:pPr>
            <w:r>
              <w:rPr>
                <w:rFonts w:hint="eastAsia"/>
                <w:spacing w:val="-4"/>
                <w:lang w:eastAsia="zh-CN"/>
              </w:rPr>
              <w:t>指导企业成立标准起草小组(标准编制小组)，根据现有技术资料起草标准草案。</w:t>
            </w:r>
          </w:p>
          <w:p w14:paraId="2171E2C9">
            <w:pPr>
              <w:pStyle w:val="48"/>
              <w:spacing w:after="40" w:line="352" w:lineRule="auto"/>
              <w:ind w:left="114" w:right="102" w:firstLine="420"/>
              <w:rPr>
                <w:spacing w:val="-4"/>
                <w:lang w:eastAsia="zh-CN"/>
              </w:rPr>
            </w:pPr>
            <w:r>
              <w:rPr>
                <w:spacing w:val="-4"/>
                <w:lang w:eastAsia="zh-CN"/>
              </w:rPr>
              <w:t>草案编制：严格遵循GB/T 1.1-2020《标准化工作导则 第 1部分：标准化文件的结构和起草规则》的要求，编制标准草案；</w:t>
            </w:r>
            <w:r>
              <w:rPr>
                <w:rFonts w:hint="eastAsia"/>
                <w:spacing w:val="-4"/>
                <w:lang w:eastAsia="zh-CN"/>
              </w:rPr>
              <w:t>在此过程中，可以利用工具帮助科研人员调整格式，确保草案结构符合规范。且草案的修改是一个持续优化的过程，可以多次反复修改，直至格式和内容都满足要求。</w:t>
            </w:r>
          </w:p>
          <w:p w14:paraId="5C42923B">
            <w:pPr>
              <w:pStyle w:val="48"/>
              <w:spacing w:after="40" w:line="352" w:lineRule="auto"/>
              <w:ind w:left="114" w:right="102" w:firstLine="420"/>
              <w:rPr>
                <w:lang w:eastAsia="zh-CN"/>
              </w:rPr>
            </w:pPr>
            <w:r>
              <w:rPr>
                <w:spacing w:val="-4"/>
                <w:lang w:eastAsia="zh-CN"/>
              </w:rPr>
              <w:t>明确内容：在草案中，需清晰界定并阐明以下核心要素：标准所涉及的相关术语及其定义、标准制定的基本原则、标准规定的对象和适用范围、明确、可量化、可验证的技术要求、标准的核心编制内容框架、实施本标准预期可带来的经济、社会等效益分析，明确支撑标准关键要素及要求的相关验证数据、实验报告</w:t>
            </w:r>
            <w:r>
              <w:rPr>
                <w:rFonts w:hint="eastAsia"/>
                <w:spacing w:val="-4"/>
                <w:lang w:eastAsia="zh-CN"/>
              </w:rPr>
              <w:t>（如有）</w:t>
            </w:r>
            <w:r>
              <w:rPr>
                <w:spacing w:val="-2"/>
                <w:lang w:eastAsia="zh-CN"/>
              </w:rPr>
              <w:t>等材料。</w:t>
            </w:r>
          </w:p>
          <w:p w14:paraId="6911CC0D">
            <w:pPr>
              <w:pStyle w:val="48"/>
              <w:spacing w:after="40" w:line="220" w:lineRule="auto"/>
              <w:ind w:left="537"/>
              <w:rPr>
                <w:b/>
                <w:bCs/>
                <w:lang w:eastAsia="zh-CN"/>
              </w:rPr>
            </w:pPr>
            <w:r>
              <w:rPr>
                <w:b/>
                <w:bCs/>
                <w:spacing w:val="-1"/>
                <w:lang w:eastAsia="zh-CN"/>
              </w:rPr>
              <w:t>3.征求意见与修改完善</w:t>
            </w:r>
          </w:p>
          <w:p w14:paraId="587A4B78">
            <w:pPr>
              <w:pStyle w:val="48"/>
              <w:spacing w:after="40" w:line="351" w:lineRule="auto"/>
              <w:ind w:left="114" w:right="102" w:firstLine="443"/>
              <w:rPr>
                <w:lang w:eastAsia="zh-CN"/>
              </w:rPr>
            </w:pPr>
            <w:r>
              <w:rPr>
                <w:spacing w:val="-5"/>
                <w:lang w:eastAsia="zh-CN"/>
              </w:rPr>
              <w:t>内部征求意见：将标准草案分发至单位内部各相关部门，广泛</w:t>
            </w:r>
            <w:r>
              <w:rPr>
                <w:spacing w:val="-4"/>
                <w:lang w:eastAsia="zh-CN"/>
              </w:rPr>
              <w:t>征求意见；研讨修订：组织内部专题研讨会，对收集到的意见和建议进行逐条分析、讨论。根据研讨结论，对标准草案进行系统性修</w:t>
            </w:r>
            <w:r>
              <w:rPr>
                <w:spacing w:val="-1"/>
                <w:lang w:eastAsia="zh-CN"/>
              </w:rPr>
              <w:t>改与完善，最终形成标准征求意见稿及编制说明。</w:t>
            </w:r>
          </w:p>
          <w:p w14:paraId="19D20E7F">
            <w:pPr>
              <w:pStyle w:val="48"/>
              <w:spacing w:after="40" w:line="219" w:lineRule="auto"/>
              <w:ind w:left="532"/>
              <w:rPr>
                <w:b/>
                <w:bCs/>
                <w:lang w:eastAsia="zh-CN"/>
              </w:rPr>
            </w:pPr>
            <w:r>
              <w:rPr>
                <w:b/>
                <w:bCs/>
                <w:spacing w:val="-1"/>
                <w:lang w:eastAsia="zh-CN"/>
              </w:rPr>
              <w:t>4.审查与发布</w:t>
            </w:r>
          </w:p>
          <w:p w14:paraId="15A25756">
            <w:pPr>
              <w:pStyle w:val="48"/>
              <w:spacing w:after="40" w:line="351" w:lineRule="auto"/>
              <w:ind w:left="114" w:right="102" w:firstLine="443"/>
              <w:rPr>
                <w:lang w:eastAsia="zh-CN"/>
              </w:rPr>
            </w:pPr>
            <w:r>
              <w:rPr>
                <w:spacing w:val="-5"/>
                <w:lang w:eastAsia="zh-CN"/>
              </w:rPr>
              <w:t>终稿审定：将修改完善后的标准草案，与</w:t>
            </w:r>
            <w:r>
              <w:rPr>
                <w:rFonts w:hint="eastAsia"/>
                <w:spacing w:val="-5"/>
                <w:lang w:eastAsia="zh-CN"/>
              </w:rPr>
              <w:t>院内相关</w:t>
            </w:r>
            <w:r>
              <w:rPr>
                <w:spacing w:val="-5"/>
                <w:lang w:eastAsia="zh-CN"/>
              </w:rPr>
              <w:t>部门进行审查；定稿与上传：根据最终审查意见完成最后修订，形成标准定稿。经确认无误后，</w:t>
            </w:r>
            <w:r>
              <w:rPr>
                <w:rFonts w:hint="eastAsia"/>
                <w:spacing w:val="-5"/>
                <w:lang w:eastAsia="zh-CN"/>
              </w:rPr>
              <w:t>将标准的最终文本及相关信息上传至企业标准信息公共服务平台，</w:t>
            </w:r>
            <w:r>
              <w:rPr>
                <w:spacing w:val="-5"/>
                <w:lang w:eastAsia="zh-CN"/>
              </w:rPr>
              <w:t>完成自我声明公开程序。</w:t>
            </w:r>
          </w:p>
        </w:tc>
      </w:tr>
      <w:tr w14:paraId="2539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87" w:type="dxa"/>
            <w:vAlign w:val="center"/>
          </w:tcPr>
          <w:p w14:paraId="0B995CFA">
            <w:pPr>
              <w:pStyle w:val="48"/>
              <w:spacing w:before="146" w:line="221" w:lineRule="auto"/>
              <w:ind w:left="128"/>
              <w:jc w:val="center"/>
              <w:rPr>
                <w:spacing w:val="-2"/>
                <w:lang w:eastAsia="zh-CN"/>
              </w:rPr>
            </w:pPr>
            <w:r>
              <w:rPr>
                <w:rFonts w:hint="eastAsia"/>
                <w:spacing w:val="-2"/>
                <w:lang w:eastAsia="zh-CN"/>
              </w:rPr>
              <w:t>2</w:t>
            </w:r>
          </w:p>
        </w:tc>
        <w:tc>
          <w:tcPr>
            <w:tcW w:w="1113" w:type="dxa"/>
            <w:vAlign w:val="center"/>
          </w:tcPr>
          <w:p w14:paraId="08C50F0B">
            <w:pPr>
              <w:pStyle w:val="48"/>
              <w:spacing w:before="68" w:line="221" w:lineRule="auto"/>
              <w:ind w:left="128"/>
              <w:jc w:val="both"/>
            </w:pPr>
            <w:r>
              <w:rPr>
                <w:rFonts w:hint="eastAsia"/>
                <w:spacing w:val="-2"/>
                <w:lang w:eastAsia="zh-CN"/>
              </w:rPr>
              <w:t>团体</w:t>
            </w:r>
            <w:r>
              <w:rPr>
                <w:spacing w:val="-2"/>
              </w:rPr>
              <w:t>标准</w:t>
            </w:r>
          </w:p>
          <w:p w14:paraId="2490F90D">
            <w:pPr>
              <w:pStyle w:val="48"/>
              <w:spacing w:before="146" w:line="221" w:lineRule="auto"/>
              <w:ind w:left="128"/>
              <w:jc w:val="both"/>
              <w:rPr>
                <w:spacing w:val="-2"/>
              </w:rPr>
            </w:pPr>
            <w:r>
              <w:rPr>
                <w:spacing w:val="-2"/>
              </w:rPr>
              <w:t>研制服务</w:t>
            </w:r>
          </w:p>
        </w:tc>
        <w:tc>
          <w:tcPr>
            <w:tcW w:w="7911" w:type="dxa"/>
            <w:vAlign w:val="top"/>
          </w:tcPr>
          <w:p w14:paraId="2E28073C">
            <w:pPr>
              <w:pStyle w:val="48"/>
              <w:spacing w:after="40" w:line="240" w:lineRule="auto"/>
              <w:ind w:firstLine="390" w:firstLineChars="200"/>
              <w:rPr>
                <w:b/>
                <w:bCs/>
                <w:lang w:eastAsia="zh-CN"/>
              </w:rPr>
            </w:pPr>
            <w:r>
              <w:rPr>
                <w:rFonts w:hint="eastAsia"/>
                <w:b/>
                <w:bCs/>
                <w:spacing w:val="-8"/>
                <w:lang w:eastAsia="zh-CN"/>
              </w:rPr>
              <w:t>1.立项</w:t>
            </w:r>
          </w:p>
          <w:p w14:paraId="27529A68">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在全国团体标准发布平台中已完成综合绩效自我评价结果为二星级及以上的团体标准组织（以下称“团体标准发布机构”）对团体标准立项环节的要求，完成团体标准项目的立项项目建议书、项目计划汇总表和申请函等材料，并完成立项工作。</w:t>
            </w:r>
          </w:p>
          <w:p w14:paraId="54A27991">
            <w:pPr>
              <w:pStyle w:val="48"/>
              <w:spacing w:after="40" w:line="240" w:lineRule="auto"/>
              <w:ind w:firstLine="402" w:firstLineChars="200"/>
              <w:rPr>
                <w:b/>
                <w:bCs/>
                <w:lang w:eastAsia="zh-CN"/>
              </w:rPr>
            </w:pPr>
            <w:r>
              <w:rPr>
                <w:rFonts w:hint="eastAsia"/>
                <w:b/>
                <w:bCs/>
                <w:spacing w:val="-5"/>
                <w:lang w:eastAsia="zh-CN"/>
              </w:rPr>
              <w:t>2.起草</w:t>
            </w:r>
          </w:p>
          <w:p w14:paraId="42DAA447">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指导并协助甲方组织起草单位召开标准结构大纲和创新性的研讨会，并按照GB/T 1.1-2020要求完成团体标准项目的标准草案和编写编制说明。</w:t>
            </w:r>
          </w:p>
          <w:p w14:paraId="7C282074">
            <w:pPr>
              <w:pStyle w:val="48"/>
              <w:spacing w:after="40" w:line="240" w:lineRule="auto"/>
              <w:ind w:firstLine="414" w:firstLineChars="200"/>
              <w:rPr>
                <w:b/>
                <w:bCs/>
                <w:lang w:eastAsia="zh-CN"/>
              </w:rPr>
            </w:pPr>
            <w:r>
              <w:rPr>
                <w:rFonts w:hint="eastAsia"/>
                <w:b/>
                <w:bCs/>
                <w:spacing w:val="-2"/>
                <w:lang w:eastAsia="zh-CN"/>
              </w:rPr>
              <w:t>3.编制标准</w:t>
            </w:r>
          </w:p>
          <w:p w14:paraId="5D045581">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帮助甲方按照团体标准发布机构对标准征求意见稿及编制说明的要求，针对标准的各项创新点和主要条文，逐一完成编制说明中主要核心指标依据来源的支撑；指导并协助甲方组织起草单位召开核心技术指标编制研讨会，完成标准征求意见稿及编制说明。</w:t>
            </w:r>
          </w:p>
          <w:p w14:paraId="2210FDB2">
            <w:pPr>
              <w:pStyle w:val="48"/>
              <w:spacing w:after="40" w:line="240" w:lineRule="auto"/>
              <w:ind w:firstLine="418" w:firstLineChars="200"/>
              <w:rPr>
                <w:b/>
                <w:bCs/>
                <w:lang w:eastAsia="zh-CN"/>
              </w:rPr>
            </w:pPr>
            <w:r>
              <w:rPr>
                <w:rFonts w:hint="eastAsia"/>
                <w:b/>
                <w:bCs/>
                <w:spacing w:val="-1"/>
                <w:lang w:eastAsia="zh-CN"/>
              </w:rPr>
              <w:t>4.征求意见</w:t>
            </w:r>
          </w:p>
          <w:p w14:paraId="6310D410">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每项标准应向涉及该标准领域的7位专家征求意见，负责汇总专家和相关单位提出的意见，并支付专家征求意见咨询费用。</w:t>
            </w:r>
          </w:p>
          <w:p w14:paraId="51981873">
            <w:pPr>
              <w:pStyle w:val="48"/>
              <w:spacing w:after="40" w:line="240" w:lineRule="auto"/>
              <w:ind w:firstLine="394" w:firstLineChars="200"/>
              <w:rPr>
                <w:b/>
                <w:bCs/>
                <w:lang w:eastAsia="zh-CN"/>
              </w:rPr>
            </w:pPr>
            <w:r>
              <w:rPr>
                <w:rFonts w:hint="eastAsia"/>
                <w:b/>
                <w:bCs/>
                <w:spacing w:val="-7"/>
                <w:lang w:eastAsia="zh-CN"/>
              </w:rPr>
              <w:t>5.审定</w:t>
            </w:r>
          </w:p>
          <w:p w14:paraId="18C53016">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团体标准发布机构对团体标准申请审定前的要求，指导并协助甲方组织起草单位召开对征求意见环节单位和专家提出的意见进行处理的研讨会，编制完成团体标准（送审稿）、编制说明（送审稿）、征求意见处理汇总表，提供送审环节程序方面的技术指导，并派技术人员参加标准审定会，配合做好审定工作，并支付标准审定专家劳务、会议场地、用餐及租借场地等各项费用。</w:t>
            </w:r>
          </w:p>
          <w:p w14:paraId="09F998EF">
            <w:pPr>
              <w:pStyle w:val="48"/>
              <w:spacing w:after="40" w:line="240" w:lineRule="auto"/>
              <w:ind w:firstLine="410" w:firstLineChars="200"/>
              <w:rPr>
                <w:b/>
                <w:bCs/>
                <w:lang w:eastAsia="zh-CN"/>
              </w:rPr>
            </w:pPr>
            <w:r>
              <w:rPr>
                <w:rFonts w:hint="eastAsia"/>
                <w:b/>
                <w:bCs/>
                <w:spacing w:val="-3"/>
                <w:lang w:eastAsia="zh-CN"/>
              </w:rPr>
              <w:t>6.发布</w:t>
            </w:r>
          </w:p>
          <w:p w14:paraId="65617C40">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团体标准发布机构要求,指导并协助甲方组织起草单位按审定会专家意见修改完成团体标准（报批稿）、编制说明（报批稿）、审定会会议纪要、审定会专家意见处理汇总表、标准审定意见、审定会专家签名表、征求意见处理汇总表交付，并提供报批环节程序技术指导。</w:t>
            </w:r>
          </w:p>
          <w:p w14:paraId="2D2F852F">
            <w:pPr>
              <w:pStyle w:val="48"/>
              <w:spacing w:after="40" w:line="240" w:lineRule="auto"/>
              <w:ind w:firstLine="406" w:firstLineChars="200"/>
              <w:rPr>
                <w:b/>
                <w:bCs/>
                <w:lang w:eastAsia="zh-CN"/>
              </w:rPr>
            </w:pPr>
            <w:r>
              <w:rPr>
                <w:rFonts w:hint="eastAsia"/>
                <w:b/>
                <w:bCs/>
                <w:spacing w:val="-4"/>
                <w:lang w:eastAsia="zh-CN"/>
              </w:rPr>
              <w:t>7.宣贯和培训</w:t>
            </w:r>
          </w:p>
          <w:p w14:paraId="36024469">
            <w:pPr>
              <w:spacing w:after="40" w:line="240" w:lineRule="auto"/>
              <w:ind w:firstLine="420" w:firstLineChars="200"/>
              <w:rPr>
                <w:spacing w:val="-4"/>
              </w:rPr>
            </w:pPr>
            <w:r>
              <w:rPr>
                <w:rFonts w:hint="eastAsia" w:ascii="宋体" w:hAnsi="宋体" w:eastAsia="宋体" w:cs="宋体"/>
                <w:color w:val="000000"/>
                <w:sz w:val="21"/>
                <w:szCs w:val="21"/>
              </w:rPr>
              <w:t>标准发布实施后，协助制定标准宣贯实施计划及协助开展标准相关内容的宣贯培训活动。</w:t>
            </w:r>
          </w:p>
        </w:tc>
      </w:tr>
      <w:tr w14:paraId="6586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7" w:type="dxa"/>
            <w:vAlign w:val="center"/>
          </w:tcPr>
          <w:p w14:paraId="018461FC">
            <w:pPr>
              <w:pStyle w:val="48"/>
              <w:spacing w:before="146" w:line="221" w:lineRule="auto"/>
              <w:ind w:left="128"/>
              <w:jc w:val="center"/>
              <w:rPr>
                <w:spacing w:val="-2"/>
                <w:lang w:eastAsia="zh-CN"/>
              </w:rPr>
            </w:pPr>
            <w:r>
              <w:rPr>
                <w:rFonts w:hint="eastAsia"/>
                <w:spacing w:val="-2"/>
                <w:lang w:eastAsia="zh-CN"/>
              </w:rPr>
              <w:t>3</w:t>
            </w:r>
          </w:p>
        </w:tc>
        <w:tc>
          <w:tcPr>
            <w:tcW w:w="1113" w:type="dxa"/>
            <w:vAlign w:val="center"/>
          </w:tcPr>
          <w:p w14:paraId="5D751831">
            <w:pPr>
              <w:pStyle w:val="48"/>
              <w:spacing w:before="68" w:line="221" w:lineRule="auto"/>
              <w:ind w:left="128"/>
              <w:jc w:val="both"/>
            </w:pPr>
            <w:r>
              <w:rPr>
                <w:rFonts w:hint="eastAsia"/>
                <w:spacing w:val="-2"/>
                <w:lang w:eastAsia="zh-CN"/>
              </w:rPr>
              <w:t>地方</w:t>
            </w:r>
            <w:r>
              <w:rPr>
                <w:spacing w:val="-2"/>
              </w:rPr>
              <w:t>标准</w:t>
            </w:r>
          </w:p>
          <w:p w14:paraId="6DAD846D">
            <w:pPr>
              <w:pStyle w:val="48"/>
              <w:spacing w:before="146" w:line="221" w:lineRule="auto"/>
              <w:ind w:left="128"/>
              <w:jc w:val="both"/>
              <w:rPr>
                <w:spacing w:val="-2"/>
              </w:rPr>
            </w:pPr>
            <w:r>
              <w:rPr>
                <w:spacing w:val="-2"/>
              </w:rPr>
              <w:t>研制服务</w:t>
            </w:r>
          </w:p>
        </w:tc>
        <w:tc>
          <w:tcPr>
            <w:tcW w:w="7911" w:type="dxa"/>
          </w:tcPr>
          <w:p w14:paraId="1A8106F7">
            <w:pPr>
              <w:pStyle w:val="48"/>
              <w:spacing w:after="40" w:line="320" w:lineRule="auto"/>
              <w:ind w:left="113" w:right="102" w:firstLine="420"/>
              <w:rPr>
                <w:b/>
                <w:bCs/>
                <w:spacing w:val="-4"/>
                <w:lang w:eastAsia="zh-CN"/>
              </w:rPr>
            </w:pPr>
            <w:r>
              <w:rPr>
                <w:rFonts w:hint="eastAsia"/>
                <w:b/>
                <w:bCs/>
                <w:spacing w:val="-4"/>
                <w:lang w:eastAsia="zh-CN"/>
              </w:rPr>
              <w:t>1.立项</w:t>
            </w:r>
          </w:p>
          <w:p w14:paraId="57AC5922">
            <w:pPr>
              <w:pStyle w:val="48"/>
              <w:spacing w:after="40" w:line="320" w:lineRule="auto"/>
              <w:ind w:left="113" w:right="102" w:firstLine="420"/>
              <w:rPr>
                <w:rFonts w:hint="eastAsia"/>
                <w:spacing w:val="-4"/>
                <w:lang w:eastAsia="zh-CN"/>
              </w:rPr>
            </w:pPr>
            <w:r>
              <w:rPr>
                <w:rFonts w:hint="eastAsia"/>
                <w:spacing w:val="-4"/>
                <w:lang w:eastAsia="zh-CN"/>
              </w:rPr>
              <w:t>提供广西地方标准立项技术服务（包括</w:t>
            </w:r>
            <w:r>
              <w:rPr>
                <w:spacing w:val="-4"/>
                <w:lang w:eastAsia="zh-CN"/>
              </w:rPr>
              <w:t>：起草符合</w:t>
            </w:r>
            <w:r>
              <w:rPr>
                <w:spacing w:val="-41"/>
                <w:lang w:eastAsia="zh-CN"/>
              </w:rPr>
              <w:t xml:space="preserve"> </w:t>
            </w:r>
            <w:r>
              <w:rPr>
                <w:spacing w:val="-4"/>
                <w:lang w:eastAsia="zh-CN"/>
              </w:rPr>
              <w:t>GB/T 1.1-2020</w:t>
            </w:r>
            <w:r>
              <w:rPr>
                <w:spacing w:val="-46"/>
                <w:lang w:eastAsia="zh-CN"/>
              </w:rPr>
              <w:t xml:space="preserve"> </w:t>
            </w:r>
            <w:r>
              <w:rPr>
                <w:spacing w:val="-4"/>
                <w:lang w:eastAsia="zh-CN"/>
              </w:rPr>
              <w:t>要求的地方标准草案初稿（明</w:t>
            </w:r>
            <w:r>
              <w:rPr>
                <w:spacing w:val="-3"/>
                <w:lang w:eastAsia="zh-CN"/>
              </w:rPr>
              <w:t>确技术要求、相关术语、基本原则、编制内容</w:t>
            </w:r>
            <w:r>
              <w:rPr>
                <w:spacing w:val="-9"/>
                <w:lang w:eastAsia="zh-CN"/>
              </w:rPr>
              <w:t>）；</w:t>
            </w:r>
            <w:r>
              <w:rPr>
                <w:spacing w:val="-3"/>
                <w:lang w:eastAsia="zh-CN"/>
              </w:rPr>
              <w:t>准备立项所需全套材料</w:t>
            </w:r>
            <w:r>
              <w:rPr>
                <w:rFonts w:hint="eastAsia"/>
                <w:spacing w:val="-3"/>
                <w:lang w:eastAsia="zh-CN"/>
              </w:rPr>
              <w:t>（</w:t>
            </w:r>
            <w:r>
              <w:rPr>
                <w:spacing w:val="-3"/>
                <w:lang w:eastAsia="zh-CN"/>
              </w:rPr>
              <w:t>立项申请推荐函、年度立项项目汇</w:t>
            </w:r>
            <w:r>
              <w:rPr>
                <w:spacing w:val="-4"/>
                <w:lang w:eastAsia="zh-CN"/>
              </w:rPr>
              <w:t>总表、相关行业主管部门意见（如需）、地方标准查新情况报告</w:t>
            </w:r>
            <w:r>
              <w:rPr>
                <w:rFonts w:hint="eastAsia"/>
                <w:spacing w:val="-3"/>
                <w:lang w:eastAsia="zh-CN"/>
              </w:rPr>
              <w:t>）</w:t>
            </w:r>
            <w:r>
              <w:rPr>
                <w:spacing w:val="-4"/>
                <w:lang w:eastAsia="zh-CN"/>
              </w:rPr>
              <w:t>；组织领域资深</w:t>
            </w:r>
            <w:r>
              <w:rPr>
                <w:spacing w:val="-3"/>
                <w:lang w:eastAsia="zh-CN"/>
              </w:rPr>
              <w:t>专家进行立项论证会，评估标准的可行性、</w:t>
            </w:r>
            <w:r>
              <w:rPr>
                <w:spacing w:val="-4"/>
                <w:lang w:eastAsia="zh-CN"/>
              </w:rPr>
              <w:t>科学性和社会效益</w:t>
            </w:r>
            <w:r>
              <w:rPr>
                <w:rFonts w:hint="eastAsia"/>
                <w:spacing w:val="-4"/>
                <w:lang w:eastAsia="zh-CN"/>
              </w:rPr>
              <w:t>等）</w:t>
            </w:r>
          </w:p>
          <w:p w14:paraId="02B2B1BA">
            <w:pPr>
              <w:pStyle w:val="48"/>
              <w:spacing w:after="40" w:line="320" w:lineRule="auto"/>
              <w:ind w:left="113" w:right="102" w:firstLine="420"/>
              <w:rPr>
                <w:b/>
                <w:bCs/>
                <w:spacing w:val="-4"/>
                <w:lang w:eastAsia="zh-CN"/>
              </w:rPr>
            </w:pPr>
            <w:r>
              <w:rPr>
                <w:rFonts w:hint="eastAsia"/>
                <w:b/>
                <w:bCs/>
                <w:spacing w:val="-4"/>
                <w:lang w:eastAsia="zh-CN"/>
              </w:rPr>
              <w:t>2.完善标准草案</w:t>
            </w:r>
          </w:p>
          <w:p w14:paraId="651335E4">
            <w:pPr>
              <w:pStyle w:val="48"/>
              <w:spacing w:after="40" w:line="320" w:lineRule="auto"/>
              <w:ind w:left="113" w:right="102" w:firstLine="420"/>
              <w:rPr>
                <w:spacing w:val="-4"/>
                <w:lang w:eastAsia="zh-CN"/>
              </w:rPr>
            </w:pPr>
            <w:r>
              <w:rPr>
                <w:rFonts w:hint="eastAsia"/>
                <w:spacing w:val="-4"/>
                <w:lang w:eastAsia="zh-CN"/>
              </w:rPr>
              <w:t>按照GB/T 1.1-2020要求完善广西地方标准《XX》（草案），比对现行国家标准、行业标准和广西地方标准，结合采购人提供的现有研究技术成果修改完善标准草案，并指导甲方开展试验验证，配合采购人开展实地调研。</w:t>
            </w:r>
          </w:p>
          <w:p w14:paraId="02640FD5">
            <w:pPr>
              <w:pStyle w:val="48"/>
              <w:spacing w:after="40" w:line="320" w:lineRule="auto"/>
              <w:ind w:left="113" w:right="102" w:firstLine="420"/>
              <w:rPr>
                <w:b/>
                <w:bCs/>
                <w:spacing w:val="-4"/>
                <w:lang w:eastAsia="zh-CN"/>
              </w:rPr>
            </w:pPr>
            <w:r>
              <w:rPr>
                <w:rFonts w:hint="eastAsia"/>
                <w:b/>
                <w:bCs/>
                <w:spacing w:val="-4"/>
                <w:lang w:eastAsia="zh-CN"/>
              </w:rPr>
              <w:t>3.征求意见</w:t>
            </w:r>
          </w:p>
          <w:p w14:paraId="21DC9B3E">
            <w:pPr>
              <w:pStyle w:val="48"/>
              <w:spacing w:after="40" w:line="320" w:lineRule="auto"/>
              <w:ind w:left="113" w:right="102" w:firstLine="420"/>
              <w:rPr>
                <w:spacing w:val="-4"/>
                <w:lang w:eastAsia="zh-CN"/>
              </w:rPr>
            </w:pPr>
            <w:r>
              <w:rPr>
                <w:rFonts w:hint="eastAsia"/>
                <w:spacing w:val="-4"/>
                <w:lang w:eastAsia="zh-CN"/>
              </w:rPr>
              <w:t>按照自治区市场监督管理局要求，编制完成广西地方标准的征求意见稿和征求意见稿编制说明，并提供征求意见程序方面的技术指导。向涉及该标准领域的7位全区权威专家征求意见，并支付专家征求意见费。</w:t>
            </w:r>
          </w:p>
          <w:p w14:paraId="787F8726">
            <w:pPr>
              <w:pStyle w:val="48"/>
              <w:spacing w:after="40" w:line="320" w:lineRule="auto"/>
              <w:ind w:left="113" w:right="102" w:firstLine="420"/>
              <w:rPr>
                <w:b/>
                <w:bCs/>
                <w:spacing w:val="-4"/>
                <w:lang w:eastAsia="zh-CN"/>
              </w:rPr>
            </w:pPr>
            <w:r>
              <w:rPr>
                <w:rFonts w:hint="eastAsia"/>
                <w:b/>
                <w:bCs/>
                <w:spacing w:val="-4"/>
                <w:lang w:eastAsia="zh-CN"/>
              </w:rPr>
              <w:t>4.预审</w:t>
            </w:r>
          </w:p>
          <w:p w14:paraId="45A720C1">
            <w:pPr>
              <w:pStyle w:val="48"/>
              <w:spacing w:after="40" w:line="320" w:lineRule="auto"/>
              <w:ind w:left="113" w:right="102" w:firstLine="420"/>
              <w:rPr>
                <w:spacing w:val="-4"/>
                <w:lang w:eastAsia="zh-CN"/>
              </w:rPr>
            </w:pPr>
            <w:r>
              <w:rPr>
                <w:rFonts w:hint="eastAsia"/>
                <w:spacing w:val="-4"/>
                <w:lang w:eastAsia="zh-CN"/>
              </w:rPr>
              <w:t>按照广西地方标准管理办法（试行）要求，编制完成广西地方标准（预审稿）、（预审稿）编制说明、征求意见处理汇总表，提供预审环节程序方面的技术指导，并派1个负责人和1-2个技术人员参加标准预审会，做好预审工作（包括预审会PPT制作和汇报、预审会材料的打印、会场的预订、会场的布置、场地费和预审会专家费用）。</w:t>
            </w:r>
          </w:p>
          <w:p w14:paraId="47DD1811">
            <w:pPr>
              <w:pStyle w:val="48"/>
              <w:spacing w:after="40" w:line="320" w:lineRule="auto"/>
              <w:ind w:left="113" w:right="102" w:firstLine="420"/>
              <w:rPr>
                <w:b/>
                <w:bCs/>
                <w:spacing w:val="-4"/>
                <w:lang w:eastAsia="zh-CN"/>
              </w:rPr>
            </w:pPr>
            <w:r>
              <w:rPr>
                <w:rFonts w:hint="eastAsia"/>
                <w:b/>
                <w:bCs/>
                <w:spacing w:val="-4"/>
                <w:lang w:eastAsia="zh-CN"/>
              </w:rPr>
              <w:t>5.技术审查</w:t>
            </w:r>
          </w:p>
          <w:p w14:paraId="732255CB">
            <w:pPr>
              <w:pStyle w:val="48"/>
              <w:spacing w:after="40" w:line="320" w:lineRule="auto"/>
              <w:ind w:left="113" w:right="102" w:firstLine="420"/>
              <w:rPr>
                <w:spacing w:val="-4"/>
                <w:lang w:eastAsia="zh-CN"/>
              </w:rPr>
            </w:pPr>
            <w:r>
              <w:rPr>
                <w:rFonts w:hint="eastAsia"/>
                <w:spacing w:val="-4"/>
                <w:lang w:eastAsia="zh-CN"/>
              </w:rPr>
              <w:t>按照自治区市场监督管理局要求，编制完成广西地方标准送审稿、送审稿编制说明、征求意见处理汇总表，提供送审环节程序方面的技术指导，并派1个负责人和1-2个技术人员参加标准审定会，做好审定工作（包括审定会PPT制作和汇报、审定会材料的打印、会场的预订、会场的布置、场地费和审定会专家费用）。</w:t>
            </w:r>
          </w:p>
          <w:p w14:paraId="731CEEEA">
            <w:pPr>
              <w:pStyle w:val="48"/>
              <w:spacing w:after="40" w:line="320" w:lineRule="auto"/>
              <w:ind w:left="113" w:right="102" w:firstLine="420"/>
              <w:rPr>
                <w:b/>
                <w:bCs/>
                <w:spacing w:val="-4"/>
                <w:lang w:eastAsia="zh-CN"/>
              </w:rPr>
            </w:pPr>
            <w:r>
              <w:rPr>
                <w:rFonts w:hint="eastAsia"/>
                <w:b/>
                <w:bCs/>
                <w:spacing w:val="-4"/>
                <w:lang w:eastAsia="zh-CN"/>
              </w:rPr>
              <w:t>6.报批发布</w:t>
            </w:r>
          </w:p>
          <w:p w14:paraId="2FC04B2D">
            <w:pPr>
              <w:pStyle w:val="48"/>
              <w:spacing w:after="40" w:line="320" w:lineRule="auto"/>
              <w:ind w:left="113" w:right="102" w:firstLine="420"/>
              <w:rPr>
                <w:spacing w:val="-4"/>
                <w:lang w:eastAsia="zh-CN"/>
              </w:rPr>
            </w:pPr>
            <w:r>
              <w:rPr>
                <w:rFonts w:hint="eastAsia"/>
                <w:spacing w:val="-4"/>
                <w:lang w:eastAsia="zh-CN"/>
              </w:rPr>
              <w:t>按照自治区市场监督管理局要求提供《地方标准报批发布表》及广西地方标准的报批稿、报批稿的编制说明、审定会会议纪要、审定会专家意见处理汇总表、标准审定意见、审定会专家签名表、征求意见处理汇总表一式三份，并提供报批环节程序技术指导。</w:t>
            </w:r>
          </w:p>
          <w:p w14:paraId="49AB27F7">
            <w:pPr>
              <w:pStyle w:val="48"/>
              <w:spacing w:after="40" w:line="320" w:lineRule="auto"/>
              <w:ind w:left="113" w:right="102" w:firstLine="420"/>
              <w:rPr>
                <w:b/>
                <w:bCs/>
                <w:spacing w:val="-4"/>
                <w:lang w:eastAsia="zh-CN"/>
              </w:rPr>
            </w:pPr>
            <w:r>
              <w:rPr>
                <w:rFonts w:hint="eastAsia"/>
                <w:b/>
                <w:bCs/>
                <w:spacing w:val="-4"/>
                <w:lang w:eastAsia="zh-CN"/>
              </w:rPr>
              <w:t>7.宣贯</w:t>
            </w:r>
          </w:p>
          <w:p w14:paraId="4BB3B87A">
            <w:pPr>
              <w:pStyle w:val="48"/>
              <w:spacing w:after="40" w:line="320" w:lineRule="auto"/>
              <w:ind w:left="113" w:right="102" w:firstLine="420"/>
              <w:rPr>
                <w:spacing w:val="-4"/>
                <w:lang w:eastAsia="zh-CN"/>
              </w:rPr>
            </w:pPr>
            <w:r>
              <w:rPr>
                <w:rFonts w:hint="eastAsia"/>
                <w:spacing w:val="-4"/>
                <w:lang w:eastAsia="zh-CN"/>
              </w:rPr>
              <w:t>标准发布实施后，协助制定标准宣贯实施计划及协助开展标准相关内容的宣贯培训活动。</w:t>
            </w:r>
          </w:p>
        </w:tc>
      </w:tr>
    </w:tbl>
    <w:p w14:paraId="4FAE60C3">
      <w:pPr>
        <w:ind w:firstLine="643" w:firstLineChars="200"/>
        <w:rPr>
          <w:rFonts w:hint="eastAsia" w:ascii="仿宋" w:hAnsi="仿宋" w:eastAsia="仿宋" w:cs="仿宋"/>
          <w:b/>
          <w:bCs/>
          <w:sz w:val="32"/>
          <w:szCs w:val="32"/>
        </w:rPr>
      </w:pPr>
    </w:p>
    <w:p w14:paraId="5D76DB9F">
      <w:pPr>
        <w:ind w:firstLine="0" w:firstLineChars="0"/>
        <w:rPr>
          <w:rFonts w:hint="eastAsia" w:hAnsi="宋体" w:cs="宋体"/>
          <w:color w:val="auto"/>
          <w:szCs w:val="21"/>
          <w:highlight w:val="none"/>
        </w:rPr>
      </w:pPr>
      <w:bookmarkStart w:id="0" w:name="_Toc1850"/>
      <w:r>
        <w:rPr>
          <w:rFonts w:hint="eastAsia" w:ascii="仿宋" w:hAnsi="仿宋" w:eastAsia="仿宋" w:cs="仿宋"/>
          <w:b/>
          <w:bCs/>
          <w:sz w:val="32"/>
          <w:szCs w:val="32"/>
          <w:lang w:val="en-US" w:eastAsia="zh-CN"/>
        </w:rPr>
        <w:t>四、评分表</w:t>
      </w:r>
      <w:bookmarkEnd w:id="0"/>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871"/>
        <w:gridCol w:w="6693"/>
        <w:gridCol w:w="857"/>
      </w:tblGrid>
      <w:tr w14:paraId="04FC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7CBF19">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019E4C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评分项</w:t>
            </w: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18A1353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2025至2026年标准研制服务评分标准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1F7E1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总分</w:t>
            </w:r>
          </w:p>
        </w:tc>
      </w:tr>
      <w:tr w14:paraId="6716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538" w:type="pct"/>
            <w:gridSpan w:val="3"/>
            <w:tcBorders>
              <w:top w:val="single" w:color="000000" w:sz="4" w:space="0"/>
              <w:left w:val="single" w:color="000000" w:sz="4" w:space="0"/>
              <w:bottom w:val="single" w:color="000000" w:sz="4" w:space="0"/>
              <w:right w:val="single" w:color="000000" w:sz="4" w:space="0"/>
            </w:tcBorders>
            <w:noWrap w:val="0"/>
            <w:vAlign w:val="center"/>
          </w:tcPr>
          <w:p w14:paraId="28FB97CC">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（一）价格分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930B2C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10分</w:t>
            </w:r>
          </w:p>
        </w:tc>
      </w:tr>
      <w:tr w14:paraId="06A2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7733F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4E1C180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价格分</w:t>
            </w: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08D5C62F">
            <w:pPr>
              <w:widowControl/>
              <w:wordWrap/>
              <w:spacing w:after="0" w:line="240" w:lineRule="auto"/>
              <w:jc w:val="left"/>
              <w:textAlignment w:val="center"/>
              <w:rPr>
                <w:rFonts w:hint="eastAsia" w:ascii="Arial" w:hAnsi="Arial" w:cs="Arial"/>
                <w:bCs/>
                <w:szCs w:val="21"/>
              </w:rPr>
            </w:pPr>
            <w:r>
              <w:rPr>
                <w:rFonts w:hint="eastAsia" w:ascii="宋体" w:hAnsi="宋体" w:cs="宋体"/>
                <w:color w:val="auto"/>
                <w:szCs w:val="21"/>
                <w:highlight w:val="none"/>
              </w:rPr>
              <w:t>1.</w:t>
            </w:r>
            <w:r>
              <w:rPr>
                <w:rFonts w:hint="eastAsia" w:ascii="Arial" w:hAnsi="Arial" w:cs="Arial"/>
                <w:bCs/>
                <w:szCs w:val="21"/>
              </w:rPr>
              <w:t>价格分采用低价优先法计算，即满足采购需求且响应价格最低的响应报价为评标基准价</w:t>
            </w:r>
            <w:r>
              <w:rPr>
                <w:rFonts w:hint="eastAsia" w:ascii="宋体" w:hAnsi="宋体" w:cs="宋体"/>
                <w:color w:val="auto"/>
                <w:szCs w:val="21"/>
                <w:highlight w:val="none"/>
              </w:rPr>
              <w:t>，基准价报价得分为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r>
              <w:rPr>
                <w:rFonts w:hint="eastAsia" w:ascii="宋体" w:hAnsi="宋体" w:cs="宋体"/>
                <w:color w:val="auto"/>
                <w:szCs w:val="21"/>
                <w:highlight w:val="none"/>
                <w:lang w:val="en-US" w:eastAsia="zh-CN"/>
              </w:rPr>
              <w:t>其</w:t>
            </w:r>
            <w:r>
              <w:rPr>
                <w:rFonts w:hint="eastAsia" w:ascii="Arial" w:hAnsi="Arial" w:cs="Arial"/>
                <w:bCs/>
                <w:szCs w:val="21"/>
              </w:rPr>
              <w:t>他响应</w:t>
            </w:r>
            <w:r>
              <w:rPr>
                <w:rFonts w:hint="eastAsia" w:ascii="Arial" w:hAnsi="Arial" w:cs="Arial"/>
                <w:bCs/>
                <w:szCs w:val="21"/>
                <w:lang w:val="en-US" w:eastAsia="zh-CN"/>
              </w:rPr>
              <w:t>供应商</w:t>
            </w:r>
            <w:r>
              <w:rPr>
                <w:rFonts w:hint="eastAsia" w:ascii="Arial" w:hAnsi="Arial" w:cs="Arial"/>
                <w:bCs/>
                <w:szCs w:val="21"/>
              </w:rPr>
              <w:t>的价格分统一按照</w:t>
            </w:r>
            <w:r>
              <w:rPr>
                <w:rFonts w:hint="eastAsia" w:ascii="宋体" w:hAnsi="宋体" w:cs="宋体"/>
                <w:color w:val="auto"/>
                <w:szCs w:val="21"/>
                <w:highlight w:val="none"/>
              </w:rPr>
              <w:t>价格分计算公式</w:t>
            </w:r>
            <w:r>
              <w:rPr>
                <w:rFonts w:hint="eastAsia" w:ascii="Arial" w:hAnsi="Arial" w:cs="Arial"/>
                <w:bCs/>
                <w:szCs w:val="21"/>
              </w:rPr>
              <w:t>计算</w:t>
            </w:r>
          </w:p>
          <w:p w14:paraId="503507FC">
            <w:pPr>
              <w:widowControl/>
              <w:wordWrap/>
              <w:spacing w:after="0" w:line="240" w:lineRule="auto"/>
              <w:jc w:val="left"/>
              <w:textAlignment w:val="center"/>
              <w:rPr>
                <w:rFonts w:hint="eastAsia" w:ascii="Arial" w:hAnsi="Arial" w:cs="Arial"/>
                <w:bCs/>
                <w:szCs w:val="21"/>
              </w:rPr>
            </w:pPr>
          </w:p>
          <w:p w14:paraId="554C4342">
            <w:pPr>
              <w:widowControl/>
              <w:wordWrap/>
              <w:spacing w:after="0" w:line="24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2.价格分计算公式：        </w:t>
            </w:r>
          </w:p>
          <w:p w14:paraId="71FC48F2">
            <w:pPr>
              <w:widowControl/>
              <w:wordWrap/>
              <w:spacing w:after="0" w:line="240" w:lineRule="auto"/>
              <w:ind w:firstLine="0" w:firstLineChars="0"/>
              <w:jc w:val="left"/>
              <w:textAlignment w:val="center"/>
              <w:rPr>
                <w:rStyle w:val="25"/>
                <w:rFonts w:hint="eastAsia" w:asciiTheme="minorEastAsia" w:hAnsiTheme="minorEastAsia" w:eastAsiaTheme="minorEastAsia" w:cstheme="minorEastAsia"/>
                <w:i w:val="0"/>
                <w:iCs w:val="0"/>
                <w:caps w:val="0"/>
                <w:color w:val="404040"/>
                <w:spacing w:val="0"/>
                <w:sz w:val="22"/>
                <w:szCs w:val="22"/>
                <w:shd w:val="clear" w:fill="FFFFFF"/>
              </w:rPr>
            </w:pPr>
            <w:r>
              <w:rPr>
                <w:rFonts w:hint="eastAsia" w:asciiTheme="minorEastAsia" w:hAnsiTheme="minorEastAsia" w:cstheme="minorEastAsia"/>
                <w:i w:val="0"/>
                <w:iCs w:val="0"/>
                <w:caps w:val="0"/>
                <w:color w:val="404040"/>
                <w:spacing w:val="0"/>
                <w:sz w:val="22"/>
                <w:szCs w:val="22"/>
                <w:shd w:val="clear" w:fill="FFFFFF"/>
                <w:lang w:eastAsia="zh-CN"/>
              </w:rPr>
              <w:t>（</w:t>
            </w:r>
            <w:r>
              <w:rPr>
                <w:rFonts w:hint="eastAsia" w:asciiTheme="minorEastAsia" w:hAnsiTheme="minorEastAsia" w:cstheme="minorEastAsia"/>
                <w:i w:val="0"/>
                <w:iCs w:val="0"/>
                <w:caps w:val="0"/>
                <w:color w:val="404040"/>
                <w:spacing w:val="0"/>
                <w:sz w:val="22"/>
                <w:szCs w:val="22"/>
                <w:shd w:val="clear" w:fill="FFFFFF"/>
                <w:lang w:val="en-US" w:eastAsia="zh-CN"/>
              </w:rPr>
              <w:t>1</w:t>
            </w:r>
            <w:r>
              <w:rPr>
                <w:rFonts w:hint="eastAsia" w:asciiTheme="minorEastAsia" w:hAnsiTheme="minorEastAsia" w:cstheme="minorEastAsia"/>
                <w:i w:val="0"/>
                <w:iCs w:val="0"/>
                <w:caps w:val="0"/>
                <w:color w:val="404040"/>
                <w:spacing w:val="0"/>
                <w:sz w:val="22"/>
                <w:szCs w:val="22"/>
                <w:shd w:val="clear" w:fill="FFFFFF"/>
                <w:lang w:eastAsia="zh-CN"/>
              </w:rPr>
              <w:t>）</w:t>
            </w:r>
            <w:r>
              <w:rPr>
                <w:rFonts w:hint="eastAsia" w:asciiTheme="minorEastAsia" w:hAnsiTheme="minorEastAsia" w:eastAsiaTheme="minorEastAsia" w:cstheme="minorEastAsia"/>
                <w:i w:val="0"/>
                <w:iCs w:val="0"/>
                <w:caps w:val="0"/>
                <w:color w:val="404040"/>
                <w:spacing w:val="0"/>
                <w:sz w:val="22"/>
                <w:szCs w:val="22"/>
                <w:shd w:val="clear" w:fill="FFFFFF"/>
              </w:rPr>
              <w:t>对每个标准项目（企业/团体/地方）</w:t>
            </w:r>
            <w:r>
              <w:rPr>
                <w:rStyle w:val="24"/>
                <w:rFonts w:hint="eastAsia" w:asciiTheme="minorEastAsia" w:hAnsiTheme="minorEastAsia" w:eastAsiaTheme="minorEastAsia" w:cstheme="minorEastAsia"/>
                <w:b/>
                <w:bCs/>
                <w:i w:val="0"/>
                <w:iCs w:val="0"/>
                <w:caps w:val="0"/>
                <w:color w:val="404040"/>
                <w:spacing w:val="0"/>
                <w:sz w:val="22"/>
                <w:szCs w:val="22"/>
                <w:shd w:val="clear" w:fill="FFFFFF"/>
              </w:rPr>
              <w:t>单独执行价格分计算</w:t>
            </w:r>
            <w:r>
              <w:rPr>
                <w:rFonts w:hint="eastAsia" w:asciiTheme="minorEastAsia" w:hAnsiTheme="minorEastAsia" w:eastAsiaTheme="minorEastAsia" w:cstheme="minorEastAsia"/>
                <w:i w:val="0"/>
                <w:iCs w:val="0"/>
                <w:caps w:val="0"/>
                <w:color w:val="404040"/>
                <w:spacing w:val="0"/>
                <w:sz w:val="22"/>
                <w:szCs w:val="22"/>
                <w:shd w:val="clear" w:fill="FFFFFF"/>
              </w:rPr>
              <w:t>，公式为：</w:t>
            </w:r>
            <w:r>
              <w:rPr>
                <w:rStyle w:val="25"/>
                <w:rFonts w:hint="eastAsia" w:asciiTheme="minorEastAsia" w:hAnsiTheme="minorEastAsia" w:eastAsiaTheme="minorEastAsia" w:cstheme="minorEastAsia"/>
                <w:i w:val="0"/>
                <w:iCs w:val="0"/>
                <w:caps w:val="0"/>
                <w:color w:val="404040"/>
                <w:spacing w:val="0"/>
                <w:sz w:val="22"/>
                <w:szCs w:val="22"/>
                <w:shd w:val="clear" w:fill="FFFFFF"/>
              </w:rPr>
              <w:t>项目价格分 = (该项目基准价 / 供应商报价) × 10</w:t>
            </w:r>
          </w:p>
          <w:p w14:paraId="54D9F543">
            <w:pPr>
              <w:widowControl/>
              <w:wordWrap/>
              <w:spacing w:after="0" w:line="240" w:lineRule="auto"/>
              <w:ind w:firstLine="0" w:firstLineChars="0"/>
              <w:jc w:val="left"/>
              <w:textAlignment w:val="center"/>
              <w:rPr>
                <w:rStyle w:val="25"/>
                <w:rFonts w:hint="eastAsia" w:asciiTheme="minorEastAsia" w:hAnsiTheme="minorEastAsia" w:eastAsiaTheme="minorEastAsia" w:cstheme="minorEastAsia"/>
                <w:i w:val="0"/>
                <w:iCs w:val="0"/>
                <w:caps w:val="0"/>
                <w:color w:val="404040"/>
                <w:spacing w:val="0"/>
                <w:sz w:val="22"/>
                <w:szCs w:val="22"/>
                <w:shd w:val="clear" w:fill="FFFFFF"/>
              </w:rPr>
            </w:pPr>
            <w:r>
              <w:rPr>
                <w:rFonts w:hint="eastAsia" w:asciiTheme="minorEastAsia" w:hAnsiTheme="minorEastAsia" w:cstheme="minorEastAsia"/>
                <w:i w:val="0"/>
                <w:iCs w:val="0"/>
                <w:caps w:val="0"/>
                <w:color w:val="404040"/>
                <w:spacing w:val="0"/>
                <w:sz w:val="22"/>
                <w:szCs w:val="22"/>
                <w:shd w:val="clear" w:fill="FFFFFF"/>
                <w:lang w:eastAsia="zh-CN"/>
              </w:rPr>
              <w:t>（</w:t>
            </w:r>
            <w:r>
              <w:rPr>
                <w:rFonts w:hint="eastAsia" w:asciiTheme="minorEastAsia" w:hAnsiTheme="minorEastAsia" w:cstheme="minorEastAsia"/>
                <w:i w:val="0"/>
                <w:iCs w:val="0"/>
                <w:caps w:val="0"/>
                <w:color w:val="404040"/>
                <w:spacing w:val="0"/>
                <w:sz w:val="22"/>
                <w:szCs w:val="22"/>
                <w:shd w:val="clear" w:fill="FFFFFF"/>
                <w:lang w:val="en-US" w:eastAsia="zh-CN"/>
              </w:rPr>
              <w:t>2</w:t>
            </w:r>
            <w:r>
              <w:rPr>
                <w:rFonts w:hint="eastAsia" w:asciiTheme="minorEastAsia" w:hAnsiTheme="minorEastAsia" w:cstheme="minorEastAsia"/>
                <w:i w:val="0"/>
                <w:iCs w:val="0"/>
                <w:caps w:val="0"/>
                <w:color w:val="404040"/>
                <w:spacing w:val="0"/>
                <w:sz w:val="22"/>
                <w:szCs w:val="22"/>
                <w:shd w:val="clear" w:fill="FFFFFF"/>
                <w:lang w:eastAsia="zh-CN"/>
              </w:rPr>
              <w:t>）</w:t>
            </w:r>
            <w:r>
              <w:rPr>
                <w:rFonts w:hint="eastAsia" w:asciiTheme="minorEastAsia" w:hAnsiTheme="minorEastAsia" w:eastAsiaTheme="minorEastAsia" w:cstheme="minorEastAsia"/>
                <w:i w:val="0"/>
                <w:iCs w:val="0"/>
                <w:caps w:val="0"/>
                <w:color w:val="404040"/>
                <w:spacing w:val="0"/>
                <w:sz w:val="22"/>
                <w:szCs w:val="22"/>
                <w:shd w:val="clear" w:fill="FFFFFF"/>
              </w:rPr>
              <w:t>将三个项目的价格分相加后取算术平均值：</w:t>
            </w:r>
            <w:r>
              <w:rPr>
                <w:rFonts w:hint="eastAsia" w:asciiTheme="minorEastAsia" w:hAnsiTheme="minorEastAsia" w:eastAsiaTheme="minorEastAsia" w:cstheme="minorEastAsia"/>
                <w:i w:val="0"/>
                <w:iCs w:val="0"/>
                <w:caps w:val="0"/>
                <w:color w:val="404040"/>
                <w:spacing w:val="0"/>
                <w:sz w:val="22"/>
                <w:szCs w:val="22"/>
                <w:shd w:val="clear" w:fill="FFFFFF"/>
              </w:rPr>
              <w:br w:type="textWrapping"/>
            </w:r>
            <w:r>
              <w:rPr>
                <w:rStyle w:val="25"/>
                <w:rFonts w:hint="eastAsia" w:asciiTheme="minorEastAsia" w:hAnsiTheme="minorEastAsia" w:cstheme="minorEastAsia"/>
                <w:i w:val="0"/>
                <w:iCs w:val="0"/>
                <w:caps w:val="0"/>
                <w:color w:val="404040"/>
                <w:spacing w:val="0"/>
                <w:sz w:val="22"/>
                <w:szCs w:val="22"/>
                <w:shd w:val="clear" w:fill="FFFFFF"/>
                <w:lang w:val="en-US" w:eastAsia="zh-CN"/>
              </w:rPr>
              <w:t>最终</w:t>
            </w:r>
            <w:r>
              <w:rPr>
                <w:rStyle w:val="25"/>
                <w:rFonts w:hint="eastAsia" w:asciiTheme="minorEastAsia" w:hAnsiTheme="minorEastAsia" w:eastAsiaTheme="minorEastAsia" w:cstheme="minorEastAsia"/>
                <w:i w:val="0"/>
                <w:iCs w:val="0"/>
                <w:caps w:val="0"/>
                <w:color w:val="404040"/>
                <w:spacing w:val="0"/>
                <w:sz w:val="22"/>
                <w:szCs w:val="22"/>
                <w:shd w:val="clear" w:fill="FFFFFF"/>
              </w:rPr>
              <w:t>价格分 = (企业标准分 + 团体标准分 + 地方标准分) ÷</w:t>
            </w:r>
            <w:r>
              <w:rPr>
                <w:rStyle w:val="25"/>
                <w:rFonts w:hint="eastAsia" w:asciiTheme="minorEastAsia" w:hAnsiTheme="minorEastAsia" w:cstheme="minorEastAsia"/>
                <w:i w:val="0"/>
                <w:iCs w:val="0"/>
                <w:caps w:val="0"/>
                <w:color w:val="404040"/>
                <w:spacing w:val="0"/>
                <w:sz w:val="22"/>
                <w:szCs w:val="22"/>
                <w:shd w:val="clear" w:fill="FFFFFF"/>
                <w:lang w:val="en-US" w:eastAsia="zh-CN"/>
              </w:rPr>
              <w:t>3</w:t>
            </w:r>
            <w:r>
              <w:rPr>
                <w:rStyle w:val="25"/>
                <w:rFonts w:hint="eastAsia" w:asciiTheme="minorEastAsia" w:hAnsiTheme="minorEastAsia" w:eastAsiaTheme="minorEastAsia" w:cstheme="minorEastAsia"/>
                <w:i w:val="0"/>
                <w:iCs w:val="0"/>
                <w:caps w:val="0"/>
                <w:color w:val="404040"/>
                <w:spacing w:val="0"/>
                <w:sz w:val="22"/>
                <w:szCs w:val="22"/>
                <w:shd w:val="clear" w:fill="FFFFFF"/>
              </w:rPr>
              <w:t xml:space="preserve"> </w:t>
            </w:r>
          </w:p>
          <w:p w14:paraId="367040D6">
            <w:pPr>
              <w:widowControl/>
              <w:wordWrap/>
              <w:spacing w:after="0" w:line="240" w:lineRule="auto"/>
              <w:jc w:val="left"/>
              <w:textAlignment w:val="center"/>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公式为：</w:t>
            </w:r>
            <w:r>
              <w:rPr>
                <w:rStyle w:val="25"/>
                <w:rFonts w:hint="eastAsia" w:asciiTheme="minorEastAsia" w:hAnsiTheme="minorEastAsia" w:cstheme="minorEastAsia"/>
                <w:i w:val="0"/>
                <w:iCs w:val="0"/>
                <w:caps w:val="0"/>
                <w:color w:val="404040"/>
                <w:spacing w:val="0"/>
                <w:sz w:val="22"/>
                <w:szCs w:val="22"/>
                <w:shd w:val="clear" w:fill="FFFFFF"/>
                <w:lang w:val="en-US" w:eastAsia="zh-CN"/>
              </w:rPr>
              <w:t>最终</w:t>
            </w:r>
            <w:r>
              <w:rPr>
                <w:rStyle w:val="25"/>
                <w:rFonts w:hint="eastAsia" w:asciiTheme="minorEastAsia" w:hAnsiTheme="minorEastAsia" w:eastAsiaTheme="minorEastAsia" w:cstheme="minorEastAsia"/>
                <w:i w:val="0"/>
                <w:iCs w:val="0"/>
                <w:caps w:val="0"/>
                <w:color w:val="404040"/>
                <w:spacing w:val="0"/>
                <w:sz w:val="22"/>
                <w:szCs w:val="22"/>
                <w:shd w:val="clear" w:fill="FFFFFF"/>
              </w:rPr>
              <w:t>价格分</w:t>
            </w:r>
            <w:r>
              <w:rPr>
                <w:rFonts w:hint="eastAsia" w:asciiTheme="minorEastAsia" w:hAnsiTheme="minorEastAsia" w:eastAsiaTheme="minorEastAsia" w:cstheme="minorEastAsia"/>
                <w:i w:val="0"/>
                <w:iCs w:val="0"/>
                <w:caps w:val="0"/>
                <w:color w:val="404040"/>
                <w:spacing w:val="0"/>
                <w:sz w:val="22"/>
                <w:szCs w:val="22"/>
                <w:shd w:val="clear" w:fill="FFFFFF"/>
              </w:rPr>
              <w:t>=1</w:t>
            </w:r>
            <w:r>
              <w:rPr>
                <w:rFonts w:hint="eastAsia" w:asciiTheme="minorEastAsia" w:hAnsiTheme="minorEastAsia" w:cstheme="minorEastAsia"/>
                <w:i w:val="0"/>
                <w:iCs w:val="0"/>
                <w:caps w:val="0"/>
                <w:color w:val="404040"/>
                <w:spacing w:val="0"/>
                <w:sz w:val="22"/>
                <w:szCs w:val="22"/>
                <w:shd w:val="clear" w:fill="FFFFFF"/>
                <w:lang w:val="en-US" w:eastAsia="zh-CN"/>
              </w:rPr>
              <w:t>/</w:t>
            </w:r>
            <w:r>
              <w:rPr>
                <w:rFonts w:hint="eastAsia" w:asciiTheme="minorEastAsia" w:hAnsiTheme="minorEastAsia" w:eastAsiaTheme="minorEastAsia" w:cstheme="minorEastAsia"/>
                <w:i w:val="0"/>
                <w:iCs w:val="0"/>
                <w:caps w:val="0"/>
                <w:color w:val="404040"/>
                <w:spacing w:val="0"/>
                <w:sz w:val="22"/>
                <w:szCs w:val="22"/>
                <w:shd w:val="clear" w:fill="FFFFFF"/>
              </w:rPr>
              <w:t>3[(企业基准价</w:t>
            </w:r>
            <w:r>
              <w:rPr>
                <w:rFonts w:hint="eastAsia" w:asciiTheme="minorEastAsia" w:hAnsiTheme="minorEastAsia" w:cstheme="minorEastAsia"/>
                <w:i w:val="0"/>
                <w:iCs w:val="0"/>
                <w:caps w:val="0"/>
                <w:color w:val="404040"/>
                <w:spacing w:val="0"/>
                <w:sz w:val="22"/>
                <w:szCs w:val="22"/>
                <w:shd w:val="clear" w:fill="FFFFFF"/>
                <w:lang w:val="en-US" w:eastAsia="zh-CN"/>
              </w:rPr>
              <w:t>/</w:t>
            </w:r>
            <w:r>
              <w:rPr>
                <w:rFonts w:hint="eastAsia" w:asciiTheme="minorEastAsia" w:hAnsiTheme="minorEastAsia" w:eastAsiaTheme="minorEastAsia" w:cstheme="minorEastAsia"/>
                <w:i w:val="0"/>
                <w:iCs w:val="0"/>
                <w:caps w:val="0"/>
                <w:color w:val="404040"/>
                <w:spacing w:val="0"/>
                <w:sz w:val="22"/>
                <w:szCs w:val="22"/>
                <w:shd w:val="clear" w:fill="FFFFFF"/>
              </w:rPr>
              <w:t>企业报价×10)+(团体基准价团体报价×10)+(地方基准价地方报价×10)]</w:t>
            </w:r>
          </w:p>
          <w:p w14:paraId="67E7C3D3">
            <w:pPr>
              <w:widowControl/>
              <w:wordWrap/>
              <w:spacing w:after="0" w:line="240" w:lineRule="auto"/>
              <w:jc w:val="left"/>
              <w:textAlignment w:val="center"/>
              <w:rPr>
                <w:rFonts w:hint="eastAsia" w:hAnsi="宋体" w:cs="宋体"/>
                <w:color w:val="auto"/>
                <w:szCs w:val="21"/>
                <w:highlight w:val="none"/>
              </w:rPr>
            </w:pPr>
          </w:p>
          <w:p w14:paraId="6DF954BD">
            <w:pPr>
              <w:keepNext w:val="0"/>
              <w:keepLines w:val="0"/>
              <w:widowControl/>
              <w:suppressLineNumbers w:val="0"/>
              <w:spacing w:after="0" w:line="240" w:lineRule="auto"/>
              <w:jc w:val="left"/>
              <w:textAlignment w:val="center"/>
              <w:rPr>
                <w:rFonts w:hint="eastAsia" w:ascii="黑体" w:hAnsi="宋体" w:eastAsia="黑体" w:cs="黑体"/>
                <w:i w:val="0"/>
                <w:iCs w:val="0"/>
                <w:color w:val="000000"/>
                <w:sz w:val="21"/>
                <w:szCs w:val="21"/>
                <w:u w:val="none"/>
              </w:rPr>
            </w:pPr>
            <w:r>
              <w:rPr>
                <w:rFonts w:hint="eastAsia" w:hAnsi="宋体" w:cs="宋体"/>
                <w:color w:val="auto"/>
                <w:szCs w:val="21"/>
                <w:highlight w:val="none"/>
              </w:rPr>
              <w:t>3</w:t>
            </w:r>
            <w:r>
              <w:rPr>
                <w:rFonts w:hint="eastAsia" w:ascii="宋体" w:hAnsi="宋体" w:cs="宋体"/>
                <w:color w:val="auto"/>
                <w:szCs w:val="21"/>
                <w:highlight w:val="none"/>
              </w:rPr>
              <w:t>.分值保留至小数点后两位，最低为0分。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E7F3FA">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10分</w:t>
            </w:r>
          </w:p>
        </w:tc>
      </w:tr>
      <w:tr w14:paraId="7794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538" w:type="pct"/>
            <w:gridSpan w:val="3"/>
            <w:tcBorders>
              <w:top w:val="single" w:color="000000" w:sz="4" w:space="0"/>
              <w:left w:val="single" w:color="000000" w:sz="4" w:space="0"/>
              <w:bottom w:val="single" w:color="000000" w:sz="4" w:space="0"/>
              <w:right w:val="single" w:color="000000" w:sz="4" w:space="0"/>
            </w:tcBorders>
            <w:noWrap w:val="0"/>
            <w:vAlign w:val="center"/>
          </w:tcPr>
          <w:p w14:paraId="32C67412">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hAnsi="宋体" w:cs="宋体"/>
                <w:b/>
                <w:bCs/>
                <w:color w:val="auto"/>
                <w:szCs w:val="21"/>
                <w:highlight w:val="none"/>
              </w:rPr>
              <w:t>（二）技术方案</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0F6B89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60分</w:t>
            </w:r>
          </w:p>
        </w:tc>
      </w:tr>
      <w:tr w14:paraId="51F5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4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CDF6E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D12EF8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hAnsi="宋体" w:cs="宋体"/>
                <w:b/>
                <w:bCs/>
                <w:color w:val="auto"/>
                <w:szCs w:val="21"/>
                <w:highlight w:val="none"/>
              </w:rPr>
              <w:t>技术方案</w:t>
            </w: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58A71916">
            <w:pPr>
              <w:wordWrap w:val="0"/>
              <w:spacing w:after="40" w:line="288" w:lineRule="auto"/>
              <w:jc w:val="left"/>
              <w:rPr>
                <w:rFonts w:hint="eastAsia" w:hAnsi="宋体" w:eastAsia="宋体" w:cs="宋体"/>
                <w:color w:val="auto"/>
                <w:szCs w:val="21"/>
                <w:highlight w:val="none"/>
              </w:rPr>
            </w:pPr>
            <w:r>
              <w:rPr>
                <w:rFonts w:hint="eastAsia" w:ascii="黑体" w:hAnsi="宋体" w:eastAsia="黑体" w:cs="黑体"/>
                <w:i w:val="0"/>
                <w:iCs w:val="0"/>
                <w:color w:val="000000"/>
                <w:sz w:val="21"/>
                <w:szCs w:val="21"/>
                <w:u w:val="none"/>
              </w:rPr>
              <w:t>1</w:t>
            </w:r>
            <w:r>
              <w:rPr>
                <w:rFonts w:hint="eastAsia" w:hAnsi="宋体" w:eastAsia="宋体" w:cs="宋体"/>
                <w:color w:val="auto"/>
                <w:szCs w:val="21"/>
                <w:highlight w:val="none"/>
              </w:rPr>
              <w:t>.项目特点、难点分析及服务对策（满分</w:t>
            </w:r>
            <w:r>
              <w:rPr>
                <w:rFonts w:hint="eastAsia" w:hAnsi="宋体" w:eastAsia="宋体" w:cs="宋体"/>
                <w:color w:val="auto"/>
                <w:szCs w:val="21"/>
                <w:highlight w:val="none"/>
                <w:lang w:val="en-US" w:eastAsia="zh-CN"/>
              </w:rPr>
              <w:t>10</w:t>
            </w:r>
            <w:r>
              <w:rPr>
                <w:rFonts w:hint="eastAsia" w:hAnsi="宋体" w:eastAsia="宋体" w:cs="宋体"/>
                <w:color w:val="auto"/>
                <w:szCs w:val="21"/>
                <w:highlight w:val="none"/>
              </w:rPr>
              <w:t>分）</w:t>
            </w:r>
          </w:p>
          <w:p w14:paraId="65BD3110">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一档（1分）：结合本项目的特点，不能提出该项目应注意的难点,以及合理可行的解决方法,不能抓住本项目难点,提出解决措施科学合理。</w:t>
            </w:r>
          </w:p>
          <w:p w14:paraId="067A4B15">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二档（</w:t>
            </w:r>
            <w:r>
              <w:rPr>
                <w:rFonts w:hint="eastAsia" w:hAnsi="宋体" w:eastAsia="宋体" w:cs="宋体"/>
                <w:color w:val="auto"/>
                <w:szCs w:val="21"/>
                <w:highlight w:val="none"/>
                <w:lang w:val="en-US" w:eastAsia="zh-CN"/>
              </w:rPr>
              <w:t>5</w:t>
            </w:r>
            <w:r>
              <w:rPr>
                <w:rFonts w:hint="eastAsia" w:hAnsi="宋体" w:eastAsia="宋体" w:cs="宋体"/>
                <w:color w:val="auto"/>
                <w:szCs w:val="21"/>
                <w:highlight w:val="none"/>
              </w:rPr>
              <w:t>分）：结合本项目的特点,基本能提出该项目应注意的难点,以及较为合理可行的解决方法,基本抓住本项目难点,提出解决措施基本科学合理。</w:t>
            </w:r>
          </w:p>
          <w:p w14:paraId="2E9013F8">
            <w:pPr>
              <w:wordWrap w:val="0"/>
              <w:spacing w:after="40" w:line="288" w:lineRule="auto"/>
              <w:jc w:val="left"/>
              <w:rPr>
                <w:rFonts w:hint="eastAsia" w:ascii="黑体" w:hAnsi="宋体" w:eastAsia="黑体" w:cs="黑体"/>
                <w:i w:val="0"/>
                <w:iCs w:val="0"/>
                <w:color w:val="000000"/>
                <w:sz w:val="21"/>
                <w:szCs w:val="21"/>
                <w:u w:val="none"/>
              </w:rPr>
            </w:pPr>
            <w:r>
              <w:rPr>
                <w:rFonts w:hint="eastAsia" w:hAnsi="宋体" w:eastAsia="宋体" w:cs="宋体"/>
                <w:color w:val="auto"/>
                <w:szCs w:val="21"/>
                <w:highlight w:val="none"/>
              </w:rPr>
              <w:t>三档（</w:t>
            </w:r>
            <w:r>
              <w:rPr>
                <w:rFonts w:hint="eastAsia" w:hAnsi="宋体" w:eastAsia="宋体" w:cs="宋体"/>
                <w:color w:val="auto"/>
                <w:szCs w:val="21"/>
                <w:highlight w:val="none"/>
                <w:lang w:val="en-US" w:eastAsia="zh-CN"/>
              </w:rPr>
              <w:t>10</w:t>
            </w:r>
            <w:r>
              <w:rPr>
                <w:rFonts w:hint="eastAsia" w:hAnsi="宋体" w:eastAsia="宋体" w:cs="宋体"/>
                <w:color w:val="auto"/>
                <w:szCs w:val="21"/>
                <w:highlight w:val="none"/>
              </w:rPr>
              <w:t>分）：结合本项目的特点，提出该项目应注意的难点,以及合理可行的解决方法，准确抓住本项目难点，提出解决措施科学合理。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8B9705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10分</w:t>
            </w:r>
          </w:p>
        </w:tc>
      </w:tr>
      <w:tr w14:paraId="11A9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B7BB82">
            <w:pPr>
              <w:jc w:val="center"/>
              <w:rPr>
                <w:rFonts w:hint="eastAsia" w:ascii="黑体" w:hAnsi="宋体" w:eastAsia="黑体" w:cs="黑体"/>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1CC45">
            <w:pPr>
              <w:jc w:val="center"/>
              <w:rPr>
                <w:rFonts w:hint="eastAsia" w:ascii="黑体" w:hAnsi="宋体" w:eastAsia="黑体" w:cs="黑体"/>
                <w:i w:val="0"/>
                <w:iCs w:val="0"/>
                <w:color w:val="000000"/>
                <w:sz w:val="21"/>
                <w:szCs w:val="21"/>
                <w:u w:val="none"/>
              </w:rPr>
            </w:pP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55E84F9A">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2.工作方案分（应包含但不限于工作内容安排、工作时间与进度计划、人员配置等）（满分25分）</w:t>
            </w:r>
          </w:p>
          <w:p w14:paraId="540FBF2E">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一档（5分）：勉强了解本项目的特点；提出了的工作方案简单，勉强满足采购需求。</w:t>
            </w:r>
          </w:p>
          <w:p w14:paraId="7AFEA8FE">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二档（10分）：了解本项目的特点；基本把握本项目的重点和难点；提出工作方案基本满足采购需求。</w:t>
            </w:r>
          </w:p>
          <w:p w14:paraId="2F93A98D">
            <w:pPr>
              <w:wordWrap w:val="0"/>
              <w:spacing w:after="40" w:line="288" w:lineRule="auto"/>
              <w:jc w:val="left"/>
              <w:rPr>
                <w:rFonts w:hint="eastAsia" w:hAnsi="宋体" w:eastAsia="宋体" w:cs="宋体"/>
                <w:color w:val="auto"/>
                <w:szCs w:val="21"/>
                <w:highlight w:val="none"/>
              </w:rPr>
            </w:pPr>
            <w:r>
              <w:rPr>
                <w:rFonts w:hint="eastAsia" w:hAnsi="宋体" w:eastAsia="宋体" w:cs="宋体"/>
                <w:color w:val="auto"/>
                <w:szCs w:val="21"/>
                <w:highlight w:val="none"/>
              </w:rPr>
              <w:t>三档（</w:t>
            </w:r>
            <w:r>
              <w:rPr>
                <w:rFonts w:hint="eastAsia" w:hAnsi="宋体" w:eastAsia="宋体" w:cs="宋体"/>
                <w:color w:val="auto"/>
                <w:szCs w:val="21"/>
                <w:highlight w:val="none"/>
                <w:lang w:val="en-US" w:eastAsia="zh-CN"/>
              </w:rPr>
              <w:t>20</w:t>
            </w:r>
            <w:r>
              <w:rPr>
                <w:rFonts w:hint="eastAsia" w:hAnsi="宋体" w:eastAsia="宋体" w:cs="宋体"/>
                <w:color w:val="auto"/>
                <w:szCs w:val="21"/>
                <w:highlight w:val="none"/>
              </w:rPr>
              <w:t>分）：能够准确了解本项目的特点；较好地把握本项目的重点和难点；提出较完整可行的工作方案；方案全面、准确、科学合理。</w:t>
            </w:r>
          </w:p>
          <w:p w14:paraId="4104CD43">
            <w:pPr>
              <w:wordWrap w:val="0"/>
              <w:spacing w:after="40" w:line="288" w:lineRule="auto"/>
              <w:jc w:val="left"/>
              <w:rPr>
                <w:rFonts w:hint="eastAsia" w:ascii="黑体" w:hAnsi="宋体" w:eastAsia="黑体" w:cs="黑体"/>
                <w:i w:val="0"/>
                <w:iCs w:val="0"/>
                <w:color w:val="000000"/>
                <w:sz w:val="21"/>
                <w:szCs w:val="21"/>
                <w:u w:val="none"/>
              </w:rPr>
            </w:pPr>
            <w:r>
              <w:rPr>
                <w:rFonts w:hint="eastAsia" w:hAnsi="宋体" w:eastAsia="宋体" w:cs="宋体"/>
                <w:color w:val="auto"/>
                <w:szCs w:val="21"/>
                <w:highlight w:val="none"/>
              </w:rPr>
              <w:t>四档（</w:t>
            </w:r>
            <w:r>
              <w:rPr>
                <w:rFonts w:hint="eastAsia" w:hAnsi="宋体" w:eastAsia="宋体" w:cs="宋体"/>
                <w:color w:val="auto"/>
                <w:szCs w:val="21"/>
                <w:highlight w:val="none"/>
                <w:lang w:val="en-US" w:eastAsia="zh-CN"/>
              </w:rPr>
              <w:t>30</w:t>
            </w:r>
            <w:r>
              <w:rPr>
                <w:rFonts w:hint="eastAsia" w:hAnsi="宋体" w:eastAsia="宋体" w:cs="宋体"/>
                <w:color w:val="auto"/>
                <w:szCs w:val="21"/>
                <w:highlight w:val="none"/>
              </w:rPr>
              <w:t>分）：准确了解本项目的特点；很好地把握本项目的重点和难点；提出完整可行的工作方案；方案全面、准确、科学合理。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08134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30分</w:t>
            </w:r>
          </w:p>
        </w:tc>
      </w:tr>
      <w:tr w14:paraId="7383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33149C">
            <w:pPr>
              <w:jc w:val="center"/>
              <w:rPr>
                <w:rFonts w:hint="eastAsia" w:ascii="黑体" w:hAnsi="宋体" w:eastAsia="黑体" w:cs="黑体"/>
                <w:i w:val="0"/>
                <w:iCs w:val="0"/>
                <w:color w:val="auto"/>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118123F2">
            <w:pPr>
              <w:jc w:val="center"/>
              <w:rPr>
                <w:rFonts w:hint="eastAsia" w:ascii="黑体" w:hAnsi="宋体" w:eastAsia="黑体" w:cs="黑体"/>
                <w:i w:val="0"/>
                <w:iCs w:val="0"/>
                <w:color w:val="auto"/>
                <w:sz w:val="21"/>
                <w:szCs w:val="21"/>
                <w:u w:val="none"/>
              </w:rPr>
            </w:pP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2D71672F">
            <w:pPr>
              <w:wordWrap w:val="0"/>
              <w:spacing w:after="40" w:line="288" w:lineRule="auto"/>
              <w:jc w:val="left"/>
              <w:rPr>
                <w:rFonts w:hint="eastAsia" w:hAnsi="宋体" w:cs="宋体"/>
                <w:b/>
                <w:bCs/>
                <w:color w:val="auto"/>
                <w:szCs w:val="21"/>
                <w:highlight w:val="none"/>
              </w:rPr>
            </w:pPr>
            <w:r>
              <w:rPr>
                <w:rFonts w:hint="eastAsia" w:hAnsi="宋体" w:cs="宋体"/>
                <w:b/>
                <w:bCs/>
                <w:color w:val="auto"/>
                <w:szCs w:val="21"/>
                <w:highlight w:val="none"/>
              </w:rPr>
              <w:t>3.拟投入本项目团队(满分20分)</w:t>
            </w:r>
          </w:p>
          <w:p w14:paraId="35D950B9">
            <w:pPr>
              <w:wordWrap w:val="0"/>
              <w:spacing w:after="40" w:line="288" w:lineRule="auto"/>
              <w:ind w:firstLine="440" w:firstLineChars="200"/>
              <w:jc w:val="left"/>
              <w:rPr>
                <w:rFonts w:hint="eastAsia" w:hAnsi="宋体" w:cs="宋体"/>
                <w:color w:val="auto"/>
                <w:szCs w:val="21"/>
                <w:highlight w:val="none"/>
              </w:rPr>
            </w:pPr>
            <w:r>
              <w:rPr>
                <w:rFonts w:hint="eastAsia" w:hAnsi="宋体" w:cs="宋体"/>
                <w:color w:val="auto"/>
                <w:szCs w:val="21"/>
                <w:highlight w:val="none"/>
              </w:rPr>
              <w:t>一档（8分）：综合配备一般，供应商投入的专业人员和专业结构上满足项目需求；项目负责人为本科及以上学历，参加制定</w:t>
            </w:r>
            <w:r>
              <w:rPr>
                <w:rFonts w:hint="eastAsia" w:hAnsi="宋体" w:cs="宋体"/>
                <w:color w:val="auto"/>
                <w:szCs w:val="21"/>
                <w:highlight w:val="none"/>
                <w:lang w:val="en-US" w:eastAsia="zh-CN"/>
              </w:rPr>
              <w:t>1</w:t>
            </w:r>
            <w:r>
              <w:rPr>
                <w:rFonts w:hint="eastAsia" w:hAnsi="宋体" w:cs="宋体"/>
                <w:color w:val="auto"/>
                <w:szCs w:val="21"/>
                <w:highlight w:val="none"/>
              </w:rPr>
              <w:t>0项地方标准或</w:t>
            </w:r>
            <w:r>
              <w:rPr>
                <w:rFonts w:hint="eastAsia" w:ascii="宋体" w:hAnsi="宋体" w:cs="宋体"/>
                <w:color w:val="auto"/>
              </w:rPr>
              <w:t>自治区级以上（含自治区级）</w:t>
            </w:r>
            <w:r>
              <w:rPr>
                <w:rFonts w:hint="eastAsia" w:hAnsi="宋体" w:cs="宋体"/>
                <w:color w:val="auto"/>
                <w:szCs w:val="21"/>
                <w:highlight w:val="none"/>
              </w:rPr>
              <w:t>社会团体发布的团体标准；拟投入团队人员在3人(含)，其中1人以上（含1人）参加制定过地方标准或团体标准经验。</w:t>
            </w:r>
          </w:p>
          <w:p w14:paraId="13277AB9">
            <w:pPr>
              <w:wordWrap w:val="0"/>
              <w:spacing w:after="40" w:line="288" w:lineRule="auto"/>
              <w:ind w:firstLine="440" w:firstLineChars="200"/>
              <w:jc w:val="left"/>
              <w:rPr>
                <w:rFonts w:hint="eastAsia" w:hAnsi="宋体" w:cs="宋体"/>
                <w:color w:val="auto"/>
                <w:szCs w:val="21"/>
                <w:highlight w:val="none"/>
              </w:rPr>
            </w:pPr>
            <w:r>
              <w:rPr>
                <w:rFonts w:hint="eastAsia" w:hAnsi="宋体" w:cs="宋体"/>
                <w:color w:val="auto"/>
                <w:szCs w:val="21"/>
                <w:highlight w:val="none"/>
              </w:rPr>
              <w:t>二档（14分）：综合配备良好，供应商投入的专业人员和专业结构上满足项目需求；项目负责人为本科及以上学历，参加制定</w:t>
            </w:r>
            <w:r>
              <w:rPr>
                <w:rFonts w:hint="eastAsia" w:hAnsi="宋体" w:cs="宋体"/>
                <w:color w:val="auto"/>
                <w:szCs w:val="21"/>
                <w:highlight w:val="none"/>
                <w:lang w:val="en-US" w:eastAsia="zh-CN"/>
              </w:rPr>
              <w:t>3</w:t>
            </w:r>
            <w:r>
              <w:rPr>
                <w:rFonts w:hint="eastAsia" w:hAnsi="宋体" w:cs="宋体"/>
                <w:color w:val="auto"/>
                <w:szCs w:val="21"/>
                <w:highlight w:val="none"/>
              </w:rPr>
              <w:t>0项地方标准或</w:t>
            </w:r>
            <w:r>
              <w:rPr>
                <w:rFonts w:hint="eastAsia" w:ascii="宋体" w:hAnsi="宋体" w:cs="宋体"/>
                <w:color w:val="auto"/>
              </w:rPr>
              <w:t>自治区级以上（含自治区级）</w:t>
            </w:r>
            <w:r>
              <w:rPr>
                <w:rFonts w:hint="eastAsia" w:hAnsi="宋体" w:cs="宋体"/>
                <w:color w:val="auto"/>
                <w:szCs w:val="21"/>
                <w:highlight w:val="none"/>
              </w:rPr>
              <w:t>社会团体发布的团体标准；拟投入团队人员在5人(含)，其中3人以上（含3人）参加制定过地方标准或团体标准经验。</w:t>
            </w:r>
          </w:p>
          <w:p w14:paraId="482F2108">
            <w:pPr>
              <w:wordWrap w:val="0"/>
              <w:spacing w:after="40" w:line="288" w:lineRule="auto"/>
              <w:ind w:firstLine="440" w:firstLineChars="200"/>
              <w:jc w:val="left"/>
              <w:rPr>
                <w:rFonts w:hint="eastAsia" w:hAnsi="宋体" w:cs="宋体"/>
                <w:color w:val="auto"/>
                <w:szCs w:val="21"/>
                <w:highlight w:val="none"/>
              </w:rPr>
            </w:pPr>
            <w:r>
              <w:rPr>
                <w:rFonts w:hint="eastAsia" w:hAnsi="宋体" w:cs="宋体"/>
                <w:color w:val="auto"/>
                <w:szCs w:val="21"/>
                <w:highlight w:val="none"/>
              </w:rPr>
              <w:t>三档（20分）：综合配备优秀，供应商投入的专业人员和专业结构上满足项目需求；项目负责人应有副高或硕士及以上学历，参加制定</w:t>
            </w:r>
            <w:r>
              <w:rPr>
                <w:rFonts w:hint="eastAsia" w:hAnsi="宋体" w:cs="宋体"/>
                <w:color w:val="auto"/>
                <w:szCs w:val="21"/>
                <w:highlight w:val="none"/>
                <w:lang w:val="en-US" w:eastAsia="zh-CN"/>
              </w:rPr>
              <w:t>5</w:t>
            </w:r>
            <w:r>
              <w:rPr>
                <w:rFonts w:hint="eastAsia" w:hAnsi="宋体" w:cs="宋体"/>
                <w:color w:val="auto"/>
                <w:szCs w:val="21"/>
                <w:highlight w:val="none"/>
              </w:rPr>
              <w:t>0项地方标准或</w:t>
            </w:r>
            <w:r>
              <w:rPr>
                <w:rFonts w:hint="eastAsia" w:ascii="宋体" w:hAnsi="宋体" w:cs="宋体"/>
                <w:color w:val="auto"/>
              </w:rPr>
              <w:t>自治区级以上（含自治区级）</w:t>
            </w:r>
            <w:r>
              <w:rPr>
                <w:rFonts w:hint="eastAsia" w:hAnsi="宋体" w:cs="宋体"/>
                <w:color w:val="auto"/>
                <w:szCs w:val="21"/>
                <w:highlight w:val="none"/>
              </w:rPr>
              <w:t>社会团体发布的团体标准；拟投入团队人员7人以上(含7人)，其中5人以上（含5人）参加制定过地方标准或团体标准经验。</w:t>
            </w:r>
          </w:p>
          <w:p w14:paraId="6EA261D4">
            <w:pPr>
              <w:wordWrap w:val="0"/>
              <w:spacing w:after="40" w:line="288" w:lineRule="auto"/>
              <w:ind w:firstLine="440" w:firstLineChars="200"/>
              <w:jc w:val="left"/>
              <w:rPr>
                <w:rFonts w:hint="eastAsia" w:hAnsi="宋体" w:cs="宋体"/>
                <w:color w:val="auto"/>
                <w:szCs w:val="21"/>
                <w:highlight w:val="none"/>
              </w:rPr>
            </w:pPr>
            <w:r>
              <w:rPr>
                <w:rFonts w:hint="eastAsia" w:hAnsi="宋体" w:cs="宋体"/>
                <w:color w:val="auto"/>
                <w:szCs w:val="21"/>
                <w:highlight w:val="none"/>
              </w:rPr>
              <w:t>注：①须提供拟投入人员花名册（名册应包含姓名、年龄、身份证、学历、专业、参加制定地方标准或团体标准情况等）及供应商在竞标截止时间前半年内为其缴纳的连续三个月的社保缴费凭证（如拟投入人员为新入职人员，提供劳动合同及2024年12月以来社保缴费凭证；如拟投入人员为退休人员，提供劳动合同及退休证），不提供的不予计分。</w:t>
            </w:r>
          </w:p>
          <w:p w14:paraId="24F9B95E">
            <w:pPr>
              <w:wordWrap w:val="0"/>
              <w:spacing w:after="40" w:line="288" w:lineRule="auto"/>
              <w:ind w:firstLine="440" w:firstLineChars="200"/>
              <w:jc w:val="left"/>
              <w:rPr>
                <w:rFonts w:hint="eastAsia" w:hAnsi="宋体" w:cs="宋体"/>
                <w:color w:val="auto"/>
                <w:szCs w:val="21"/>
                <w:highlight w:val="none"/>
              </w:rPr>
            </w:pPr>
            <w:r>
              <w:rPr>
                <w:rFonts w:hint="eastAsia" w:hAnsi="宋体" w:cs="宋体"/>
                <w:color w:val="auto"/>
                <w:szCs w:val="21"/>
                <w:highlight w:val="none"/>
              </w:rPr>
              <w:t>② 参加制定地方标准或团体标准证明材料以正式发布的标准文本为准（</w:t>
            </w:r>
            <w:r>
              <w:rPr>
                <w:rFonts w:hint="eastAsia" w:hAnsi="宋体" w:cs="宋体"/>
                <w:color w:val="auto"/>
                <w:szCs w:val="21"/>
                <w:highlight w:val="none"/>
                <w:lang w:eastAsia="zh-CN"/>
              </w:rPr>
              <w:t>提供标准文本封面、前言、正文第一页，</w:t>
            </w:r>
            <w:r>
              <w:rPr>
                <w:rFonts w:hint="eastAsia" w:hAnsi="宋体" w:cs="宋体"/>
                <w:color w:val="auto"/>
                <w:szCs w:val="21"/>
                <w:highlight w:val="none"/>
              </w:rPr>
              <w:t>加盖单位公章）。</w:t>
            </w:r>
          </w:p>
          <w:p w14:paraId="52F9C2EB">
            <w:pPr>
              <w:wordWrap w:val="0"/>
              <w:spacing w:after="40" w:line="288" w:lineRule="auto"/>
              <w:jc w:val="left"/>
              <w:rPr>
                <w:rFonts w:hint="eastAsia" w:hAnsi="宋体" w:eastAsia="宋体" w:cs="宋体"/>
                <w:color w:val="auto"/>
                <w:szCs w:val="21"/>
                <w:highlight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4393AC">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20分</w:t>
            </w:r>
          </w:p>
        </w:tc>
      </w:tr>
      <w:tr w14:paraId="4A1D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538" w:type="pct"/>
            <w:gridSpan w:val="3"/>
            <w:tcBorders>
              <w:top w:val="single" w:color="000000" w:sz="4" w:space="0"/>
              <w:left w:val="single" w:color="000000" w:sz="4" w:space="0"/>
              <w:bottom w:val="single" w:color="000000" w:sz="4" w:space="0"/>
              <w:right w:val="single" w:color="000000" w:sz="4" w:space="0"/>
            </w:tcBorders>
            <w:noWrap w:val="0"/>
            <w:vAlign w:val="center"/>
          </w:tcPr>
          <w:p w14:paraId="66BE0947">
            <w:pPr>
              <w:keepNext w:val="0"/>
              <w:keepLines w:val="0"/>
              <w:widowControl/>
              <w:suppressLineNumbers w:val="0"/>
              <w:jc w:val="left"/>
              <w:textAlignment w:val="center"/>
              <w:rPr>
                <w:rFonts w:hint="eastAsia"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（三）人员配备分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AC3DE6">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10分</w:t>
            </w:r>
          </w:p>
        </w:tc>
      </w:tr>
      <w:tr w14:paraId="32C8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FB8ECA">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（三）</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15809580">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人员配备分</w:t>
            </w: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634AF614">
            <w:pPr>
              <w:wordWrap w:val="0"/>
              <w:spacing w:after="40" w:line="288" w:lineRule="auto"/>
              <w:ind w:firstLine="440" w:firstLineChars="200"/>
              <w:jc w:val="left"/>
              <w:rPr>
                <w:rFonts w:hint="eastAsia" w:hAnsi="宋体" w:cs="宋体"/>
                <w:color w:val="auto"/>
                <w:szCs w:val="21"/>
                <w:highlight w:val="none"/>
                <w:lang w:val="en-US" w:eastAsia="zh-CN"/>
              </w:rPr>
            </w:pPr>
            <w:r>
              <w:rPr>
                <w:rFonts w:hint="eastAsia" w:hAnsi="宋体" w:cs="宋体"/>
                <w:b w:val="0"/>
                <w:bCs w:val="0"/>
                <w:color w:val="auto"/>
                <w:szCs w:val="21"/>
                <w:highlight w:val="none"/>
                <w:lang w:val="en-US" w:eastAsia="zh-CN"/>
              </w:rPr>
              <w:t>1.</w:t>
            </w:r>
            <w:r>
              <w:rPr>
                <w:rFonts w:hint="eastAsia" w:hAnsi="宋体" w:cs="宋体"/>
                <w:b w:val="0"/>
                <w:bCs w:val="0"/>
                <w:color w:val="auto"/>
                <w:szCs w:val="21"/>
                <w:highlight w:val="none"/>
              </w:rPr>
              <w:t>证明材料要求</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需</w:t>
            </w:r>
            <w:r>
              <w:rPr>
                <w:rFonts w:hint="eastAsia" w:hAnsi="宋体" w:cs="宋体"/>
                <w:color w:val="auto"/>
                <w:szCs w:val="21"/>
                <w:highlight w:val="none"/>
              </w:rPr>
              <w:t>提供复印件并加盖单位公章。</w:t>
            </w:r>
          </w:p>
          <w:p w14:paraId="36027A0C">
            <w:pPr>
              <w:wordWrap w:val="0"/>
              <w:spacing w:after="40" w:line="288" w:lineRule="auto"/>
              <w:ind w:firstLine="440" w:firstLineChars="200"/>
              <w:jc w:val="left"/>
              <w:rPr>
                <w:rFonts w:hint="default" w:hAnsi="宋体" w:cs="宋体"/>
                <w:color w:val="auto"/>
                <w:szCs w:val="21"/>
                <w:highlight w:val="none"/>
                <w:lang w:val="en-US" w:eastAsia="zh-CN"/>
              </w:rPr>
            </w:pPr>
            <w:r>
              <w:rPr>
                <w:rFonts w:hint="eastAsia" w:hAnsi="宋体" w:cs="宋体"/>
                <w:color w:val="auto"/>
                <w:szCs w:val="21"/>
                <w:highlight w:val="none"/>
                <w:lang w:val="en-US" w:eastAsia="zh-CN"/>
              </w:rPr>
              <w:t>2.根据标准类型进行评分：</w:t>
            </w:r>
          </w:p>
          <w:p w14:paraId="3920CB93">
            <w:pPr>
              <w:wordWrap w:val="0"/>
              <w:spacing w:after="40" w:line="288" w:lineRule="auto"/>
              <w:ind w:firstLine="440" w:firstLineChars="200"/>
              <w:jc w:val="left"/>
              <w:rPr>
                <w:rFonts w:hint="eastAsia" w:hAnsi="宋体" w:cs="宋体"/>
                <w:color w:val="auto"/>
                <w:szCs w:val="21"/>
                <w:highlight w:val="none"/>
                <w:lang w:val="en-US"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1</w:t>
            </w:r>
            <w:r>
              <w:rPr>
                <w:rFonts w:hint="eastAsia" w:hAnsi="宋体" w:cs="宋体"/>
                <w:color w:val="auto"/>
                <w:szCs w:val="21"/>
                <w:highlight w:val="none"/>
                <w:lang w:eastAsia="zh-CN"/>
              </w:rPr>
              <w:t>）</w:t>
            </w:r>
            <w:r>
              <w:rPr>
                <w:rFonts w:hint="eastAsia" w:hAnsi="宋体" w:cs="宋体"/>
                <w:color w:val="auto"/>
                <w:szCs w:val="21"/>
                <w:highlight w:val="none"/>
                <w:lang w:val="en-US" w:eastAsia="zh-CN"/>
              </w:rPr>
              <w:t>企业标准人员配备</w:t>
            </w:r>
          </w:p>
          <w:p w14:paraId="21309C41">
            <w:pPr>
              <w:wordWrap w:val="0"/>
              <w:spacing w:after="40" w:line="288" w:lineRule="auto"/>
              <w:ind w:firstLine="660" w:firstLineChars="300"/>
              <w:jc w:val="left"/>
              <w:rPr>
                <w:rFonts w:hint="eastAsia" w:hAnsi="宋体" w:cs="宋体"/>
                <w:color w:val="auto"/>
                <w:szCs w:val="21"/>
                <w:highlight w:val="none"/>
              </w:rPr>
            </w:pPr>
            <w:r>
              <w:rPr>
                <w:rFonts w:hint="eastAsia" w:hAnsi="宋体" w:cs="宋体"/>
                <w:color w:val="auto"/>
                <w:szCs w:val="21"/>
                <w:highlight w:val="none"/>
              </w:rPr>
              <w:t>①</w:t>
            </w:r>
            <w:r>
              <w:rPr>
                <w:rFonts w:hint="eastAsia" w:hAnsi="宋体" w:cs="宋体"/>
                <w:color w:val="auto"/>
                <w:szCs w:val="21"/>
                <w:highlight w:val="none"/>
                <w:lang w:eastAsia="zh-CN"/>
              </w:rPr>
              <w:t>供应商</w:t>
            </w:r>
            <w:r>
              <w:rPr>
                <w:rFonts w:hint="eastAsia" w:hAnsi="宋体" w:cs="宋体"/>
                <w:color w:val="auto"/>
                <w:szCs w:val="21"/>
                <w:highlight w:val="none"/>
              </w:rPr>
              <w:t>拟投入企业标准项目的人员达1人以上（含本数），</w:t>
            </w:r>
            <w:r>
              <w:rPr>
                <w:rFonts w:hint="eastAsia" w:hAnsi="宋体" w:cs="宋体"/>
                <w:color w:val="auto"/>
                <w:szCs w:val="21"/>
                <w:highlight w:val="none"/>
                <w:lang w:val="en-US" w:eastAsia="zh-CN"/>
              </w:rPr>
              <w:t>且</w:t>
            </w:r>
            <w:r>
              <w:rPr>
                <w:rFonts w:hint="eastAsia" w:hAnsi="宋体" w:cs="宋体"/>
                <w:color w:val="auto"/>
                <w:szCs w:val="21"/>
                <w:highlight w:val="none"/>
              </w:rPr>
              <w:t>参与过标准制定的，得7分；不足1人的，得2分（满分</w:t>
            </w:r>
            <w:r>
              <w:rPr>
                <w:rFonts w:hint="eastAsia" w:hAnsi="宋体" w:cs="宋体"/>
                <w:color w:val="auto"/>
                <w:szCs w:val="21"/>
                <w:highlight w:val="none"/>
                <w:lang w:eastAsia="zh-CN"/>
              </w:rPr>
              <w:t>7</w:t>
            </w:r>
            <w:r>
              <w:rPr>
                <w:rFonts w:hint="eastAsia" w:hAnsi="宋体" w:cs="宋体"/>
                <w:color w:val="auto"/>
                <w:szCs w:val="21"/>
                <w:highlight w:val="none"/>
              </w:rPr>
              <w:t>分）。</w:t>
            </w:r>
          </w:p>
          <w:p w14:paraId="0B7D5517">
            <w:pPr>
              <w:wordWrap w:val="0"/>
              <w:spacing w:after="40" w:line="288" w:lineRule="auto"/>
              <w:ind w:firstLine="660" w:firstLineChars="300"/>
              <w:jc w:val="left"/>
              <w:rPr>
                <w:rFonts w:hint="eastAsia" w:hAnsi="宋体" w:cs="宋体"/>
                <w:color w:val="auto"/>
                <w:szCs w:val="21"/>
                <w:highlight w:val="none"/>
                <w:lang w:eastAsia="zh-CN"/>
              </w:rPr>
            </w:pPr>
            <w:r>
              <w:rPr>
                <w:rFonts w:hint="eastAsia" w:hAnsi="宋体" w:cs="宋体"/>
                <w:color w:val="auto"/>
                <w:szCs w:val="21"/>
                <w:highlight w:val="none"/>
              </w:rPr>
              <w:t>②拟投入项目服务负责人为中级职称的得1分，具有高级职称或以上的得3分（满分3分）。</w:t>
            </w:r>
          </w:p>
          <w:p w14:paraId="447C05D7">
            <w:pPr>
              <w:wordWrap w:val="0"/>
              <w:spacing w:after="40" w:line="288" w:lineRule="auto"/>
              <w:ind w:firstLine="440" w:firstLineChars="200"/>
              <w:jc w:val="left"/>
              <w:rPr>
                <w:rFonts w:hint="eastAsia" w:hAnsi="宋体" w:cs="宋体"/>
                <w:color w:val="auto"/>
                <w:szCs w:val="21"/>
                <w:highlight w:val="none"/>
                <w:lang w:val="en-US"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2</w:t>
            </w:r>
            <w:r>
              <w:rPr>
                <w:rFonts w:hint="eastAsia" w:hAnsi="宋体" w:cs="宋体"/>
                <w:color w:val="auto"/>
                <w:szCs w:val="21"/>
                <w:highlight w:val="none"/>
                <w:lang w:eastAsia="zh-CN"/>
              </w:rPr>
              <w:t>）</w:t>
            </w:r>
            <w:r>
              <w:rPr>
                <w:rFonts w:hint="eastAsia" w:hAnsi="宋体" w:cs="宋体"/>
                <w:color w:val="auto"/>
                <w:szCs w:val="21"/>
                <w:highlight w:val="none"/>
                <w:lang w:val="en-US" w:eastAsia="zh-CN"/>
              </w:rPr>
              <w:t>团体标准人员配备</w:t>
            </w:r>
          </w:p>
          <w:p w14:paraId="60D5939C">
            <w:pPr>
              <w:wordWrap w:val="0"/>
              <w:spacing w:after="40" w:line="288" w:lineRule="auto"/>
              <w:ind w:firstLine="660" w:firstLineChars="300"/>
              <w:jc w:val="left"/>
              <w:rPr>
                <w:rFonts w:hint="eastAsia" w:hAnsi="宋体" w:cs="宋体"/>
                <w:color w:val="auto"/>
                <w:szCs w:val="21"/>
                <w:highlight w:val="none"/>
              </w:rPr>
            </w:pPr>
            <w:r>
              <w:rPr>
                <w:rFonts w:hint="eastAsia" w:hAnsi="宋体" w:cs="宋体"/>
                <w:color w:val="auto"/>
                <w:szCs w:val="21"/>
                <w:highlight w:val="none"/>
              </w:rPr>
              <w:t>①</w:t>
            </w:r>
            <w:r>
              <w:rPr>
                <w:rFonts w:hint="eastAsia" w:hAnsi="宋体" w:cs="宋体"/>
                <w:color w:val="auto"/>
                <w:szCs w:val="21"/>
                <w:highlight w:val="none"/>
                <w:lang w:eastAsia="zh-CN"/>
              </w:rPr>
              <w:t>供应商</w:t>
            </w:r>
            <w:r>
              <w:rPr>
                <w:rFonts w:hint="eastAsia" w:hAnsi="宋体" w:cs="宋体"/>
                <w:color w:val="auto"/>
                <w:szCs w:val="21"/>
                <w:highlight w:val="none"/>
              </w:rPr>
              <w:t>拟投入团体标准项目的人员</w:t>
            </w:r>
            <w:r>
              <w:rPr>
                <w:rFonts w:hint="eastAsia" w:hAnsi="宋体" w:cs="宋体"/>
                <w:color w:val="auto"/>
                <w:szCs w:val="21"/>
                <w:highlight w:val="none"/>
                <w:lang w:eastAsia="zh-CN"/>
              </w:rPr>
              <w:t>3</w:t>
            </w:r>
            <w:r>
              <w:rPr>
                <w:rFonts w:hint="eastAsia" w:hAnsi="宋体" w:cs="宋体"/>
                <w:color w:val="auto"/>
                <w:szCs w:val="21"/>
                <w:highlight w:val="none"/>
              </w:rPr>
              <w:t>人以上（含本数）的，同时均参与过标准制定的，得</w:t>
            </w:r>
            <w:r>
              <w:rPr>
                <w:rFonts w:hint="eastAsia" w:hAnsi="宋体" w:cs="宋体"/>
                <w:color w:val="auto"/>
                <w:szCs w:val="21"/>
                <w:highlight w:val="none"/>
                <w:lang w:eastAsia="zh-CN"/>
              </w:rPr>
              <w:t>7</w:t>
            </w:r>
            <w:r>
              <w:rPr>
                <w:rFonts w:hint="eastAsia" w:hAnsi="宋体" w:cs="宋体"/>
                <w:color w:val="auto"/>
                <w:szCs w:val="21"/>
                <w:highlight w:val="none"/>
              </w:rPr>
              <w:t>分；</w:t>
            </w:r>
            <w:r>
              <w:rPr>
                <w:rFonts w:hint="eastAsia" w:hAnsi="宋体" w:cs="宋体"/>
                <w:color w:val="auto"/>
                <w:szCs w:val="21"/>
                <w:highlight w:val="none"/>
                <w:lang w:eastAsia="zh-CN"/>
              </w:rPr>
              <w:t>3</w:t>
            </w:r>
            <w:r>
              <w:rPr>
                <w:rFonts w:hint="eastAsia" w:hAnsi="宋体" w:cs="宋体"/>
                <w:color w:val="auto"/>
                <w:szCs w:val="21"/>
                <w:highlight w:val="none"/>
              </w:rPr>
              <w:t>人以下的得2分（满分</w:t>
            </w:r>
            <w:r>
              <w:rPr>
                <w:rFonts w:hint="eastAsia" w:hAnsi="宋体" w:cs="宋体"/>
                <w:color w:val="auto"/>
                <w:szCs w:val="21"/>
                <w:highlight w:val="none"/>
                <w:lang w:eastAsia="zh-CN"/>
              </w:rPr>
              <w:t>7</w:t>
            </w:r>
            <w:r>
              <w:rPr>
                <w:rFonts w:hint="eastAsia" w:hAnsi="宋体" w:cs="宋体"/>
                <w:color w:val="auto"/>
                <w:szCs w:val="21"/>
                <w:highlight w:val="none"/>
              </w:rPr>
              <w:t>分）。</w:t>
            </w:r>
          </w:p>
          <w:p w14:paraId="6A53B78F">
            <w:pPr>
              <w:wordWrap w:val="0"/>
              <w:spacing w:after="40" w:line="288" w:lineRule="auto"/>
              <w:ind w:firstLine="660" w:firstLineChars="300"/>
              <w:jc w:val="left"/>
              <w:rPr>
                <w:rFonts w:hint="eastAsia" w:hAnsi="宋体" w:cs="宋体"/>
                <w:color w:val="auto"/>
                <w:szCs w:val="21"/>
                <w:highlight w:val="none"/>
              </w:rPr>
            </w:pPr>
            <w:r>
              <w:rPr>
                <w:rFonts w:hint="eastAsia" w:hAnsi="宋体" w:cs="宋体"/>
                <w:color w:val="auto"/>
                <w:szCs w:val="21"/>
                <w:highlight w:val="none"/>
              </w:rPr>
              <w:t>②拟投入项目服务负责人为中级职称的得1分，具有高级职称或以上的得3分（满分3分）。</w:t>
            </w:r>
          </w:p>
          <w:p w14:paraId="273D9322">
            <w:pPr>
              <w:wordWrap w:val="0"/>
              <w:spacing w:after="40" w:line="288" w:lineRule="auto"/>
              <w:ind w:firstLine="440" w:firstLineChars="200"/>
              <w:jc w:val="left"/>
              <w:rPr>
                <w:rFonts w:hint="eastAsia" w:hAnsi="宋体" w:cs="宋体"/>
                <w:color w:val="auto"/>
                <w:szCs w:val="21"/>
                <w:highlight w:val="none"/>
                <w:lang w:val="en-US"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3</w:t>
            </w:r>
            <w:r>
              <w:rPr>
                <w:rFonts w:hint="eastAsia" w:hAnsi="宋体" w:cs="宋体"/>
                <w:color w:val="auto"/>
                <w:szCs w:val="21"/>
                <w:highlight w:val="none"/>
                <w:lang w:eastAsia="zh-CN"/>
              </w:rPr>
              <w:t>）</w:t>
            </w:r>
            <w:r>
              <w:rPr>
                <w:rFonts w:hint="eastAsia" w:hAnsi="宋体" w:cs="宋体"/>
                <w:color w:val="auto"/>
                <w:szCs w:val="21"/>
                <w:highlight w:val="none"/>
                <w:lang w:val="en-US" w:eastAsia="zh-CN"/>
              </w:rPr>
              <w:t>地方标准人员配备</w:t>
            </w:r>
          </w:p>
          <w:p w14:paraId="059AEE0B">
            <w:pPr>
              <w:wordWrap w:val="0"/>
              <w:spacing w:after="40" w:line="288" w:lineRule="auto"/>
              <w:ind w:firstLine="660" w:firstLineChars="300"/>
              <w:jc w:val="left"/>
              <w:rPr>
                <w:rFonts w:hint="default" w:hAnsi="宋体" w:cs="宋体"/>
                <w:color w:val="auto"/>
                <w:szCs w:val="21"/>
                <w:highlight w:val="none"/>
                <w:lang w:val="en-US" w:eastAsia="zh-CN"/>
              </w:rPr>
            </w:pPr>
            <w:r>
              <w:rPr>
                <w:rFonts w:hint="eastAsia" w:hAnsi="宋体" w:cs="宋体"/>
                <w:color w:val="auto"/>
                <w:szCs w:val="21"/>
                <w:highlight w:val="none"/>
              </w:rPr>
              <w:t>①</w:t>
            </w:r>
            <w:r>
              <w:rPr>
                <w:rFonts w:hint="eastAsia" w:hAnsi="宋体" w:cs="宋体"/>
                <w:color w:val="auto"/>
                <w:szCs w:val="21"/>
                <w:highlight w:val="none"/>
                <w:lang w:val="en-US" w:eastAsia="zh-CN"/>
              </w:rPr>
              <w:t>供应商</w:t>
            </w:r>
            <w:r>
              <w:rPr>
                <w:rFonts w:hint="default" w:hAnsi="宋体" w:cs="宋体"/>
                <w:color w:val="auto"/>
                <w:szCs w:val="21"/>
                <w:highlight w:val="none"/>
                <w:lang w:val="en-US" w:eastAsia="zh-CN"/>
              </w:rPr>
              <w:t>拟投入地方标准项目的人员5人以上（含本数）的，同时均参与过标准制定的，得</w:t>
            </w:r>
            <w:r>
              <w:rPr>
                <w:rFonts w:hint="eastAsia" w:hAnsi="宋体" w:cs="宋体"/>
                <w:color w:val="auto"/>
                <w:szCs w:val="21"/>
                <w:highlight w:val="none"/>
                <w:lang w:val="en-US" w:eastAsia="zh-CN"/>
              </w:rPr>
              <w:t>7</w:t>
            </w:r>
            <w:r>
              <w:rPr>
                <w:rFonts w:hint="default" w:hAnsi="宋体" w:cs="宋体"/>
                <w:color w:val="auto"/>
                <w:szCs w:val="21"/>
                <w:highlight w:val="none"/>
                <w:lang w:val="en-US" w:eastAsia="zh-CN"/>
              </w:rPr>
              <w:t>分；5人以下的得2分（满分</w:t>
            </w:r>
            <w:r>
              <w:rPr>
                <w:rFonts w:hint="eastAsia" w:hAnsi="宋体" w:cs="宋体"/>
                <w:color w:val="auto"/>
                <w:szCs w:val="21"/>
                <w:highlight w:val="none"/>
                <w:lang w:val="en-US" w:eastAsia="zh-CN"/>
              </w:rPr>
              <w:t>7</w:t>
            </w:r>
            <w:r>
              <w:rPr>
                <w:rFonts w:hint="default" w:hAnsi="宋体" w:cs="宋体"/>
                <w:color w:val="auto"/>
                <w:szCs w:val="21"/>
                <w:highlight w:val="none"/>
                <w:lang w:val="en-US" w:eastAsia="zh-CN"/>
              </w:rPr>
              <w:t>分）。</w:t>
            </w:r>
          </w:p>
          <w:p w14:paraId="5FC20788">
            <w:pPr>
              <w:wordWrap w:val="0"/>
              <w:spacing w:after="40" w:line="288" w:lineRule="auto"/>
              <w:ind w:firstLine="660" w:firstLineChars="300"/>
              <w:jc w:val="left"/>
              <w:rPr>
                <w:rFonts w:hint="default" w:hAnsi="宋体" w:cs="宋体"/>
                <w:color w:val="auto"/>
                <w:szCs w:val="21"/>
                <w:highlight w:val="none"/>
                <w:lang w:val="en-US" w:eastAsia="zh-CN"/>
              </w:rPr>
            </w:pPr>
            <w:r>
              <w:rPr>
                <w:rFonts w:hint="eastAsia" w:hAnsi="宋体" w:cs="宋体"/>
                <w:color w:val="auto"/>
                <w:szCs w:val="21"/>
                <w:highlight w:val="none"/>
              </w:rPr>
              <w:t>②</w:t>
            </w:r>
            <w:r>
              <w:rPr>
                <w:rFonts w:hint="default" w:hAnsi="宋体" w:cs="宋体"/>
                <w:color w:val="auto"/>
                <w:szCs w:val="21"/>
                <w:highlight w:val="none"/>
                <w:lang w:val="en-US" w:eastAsia="zh-CN"/>
              </w:rPr>
              <w:t>拟投入项目服务负责人为中级职称的得1分，具有高级职称或以上的得3分（满分3分）。</w:t>
            </w:r>
          </w:p>
          <w:p w14:paraId="4087F6CB">
            <w:pPr>
              <w:keepNext w:val="0"/>
              <w:keepLines w:val="0"/>
              <w:widowControl/>
              <w:suppressLineNumbers w:val="0"/>
              <w:ind w:firstLine="630" w:firstLineChars="300"/>
              <w:jc w:val="left"/>
              <w:textAlignment w:val="center"/>
              <w:rPr>
                <w:rFonts w:hint="eastAsia" w:ascii="黑体" w:hAnsi="宋体" w:eastAsia="黑体" w:cs="黑体"/>
                <w:i w:val="0"/>
                <w:iCs w:val="0"/>
                <w:color w:val="auto"/>
                <w:sz w:val="21"/>
                <w:szCs w:val="21"/>
                <w:u w:val="none"/>
              </w:rPr>
            </w:pPr>
            <w:r>
              <w:rPr>
                <w:rFonts w:hint="default" w:ascii="黑体" w:hAnsi="宋体" w:eastAsia="黑体" w:cs="黑体"/>
                <w:i w:val="0"/>
                <w:iCs w:val="0"/>
                <w:color w:val="auto"/>
                <w:sz w:val="21"/>
                <w:szCs w:val="21"/>
                <w:u w:val="none"/>
                <w:lang w:val="en-US" w:eastAsia="zh-CN"/>
              </w:rPr>
              <w:t>本项不重复计分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0C933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10分</w:t>
            </w:r>
          </w:p>
        </w:tc>
      </w:tr>
      <w:tr w14:paraId="6349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8" w:type="pct"/>
            <w:gridSpan w:val="3"/>
            <w:tcBorders>
              <w:top w:val="single" w:color="000000" w:sz="4" w:space="0"/>
              <w:left w:val="single" w:color="000000" w:sz="4" w:space="0"/>
              <w:bottom w:val="single" w:color="000000" w:sz="4" w:space="0"/>
              <w:right w:val="single" w:color="000000" w:sz="4" w:space="0"/>
            </w:tcBorders>
            <w:noWrap w:val="0"/>
            <w:vAlign w:val="center"/>
          </w:tcPr>
          <w:p w14:paraId="1FBF6C4D">
            <w:pPr>
              <w:keepNext w:val="0"/>
              <w:keepLines w:val="0"/>
              <w:widowControl/>
              <w:suppressLineNumbers w:val="0"/>
              <w:jc w:val="left"/>
              <w:textAlignment w:val="center"/>
              <w:rPr>
                <w:rFonts w:hint="eastAsia" w:ascii="黑体" w:hAnsi="宋体" w:eastAsia="黑体" w:cs="黑体"/>
                <w:i w:val="0"/>
                <w:iCs w:val="0"/>
                <w:color w:val="auto"/>
                <w:kern w:val="0"/>
                <w:sz w:val="21"/>
                <w:szCs w:val="21"/>
                <w:u w:val="none"/>
                <w:lang w:val="en-US" w:eastAsia="zh-CN" w:bidi="ar"/>
              </w:rPr>
            </w:pPr>
            <w:r>
              <w:rPr>
                <w:rFonts w:hint="eastAsia" w:ascii="黑体" w:hAnsi="宋体" w:eastAsia="黑体" w:cs="黑体"/>
                <w:i w:val="0"/>
                <w:iCs w:val="0"/>
                <w:color w:val="auto"/>
                <w:kern w:val="0"/>
                <w:sz w:val="21"/>
                <w:szCs w:val="21"/>
                <w:u w:val="none"/>
                <w:lang w:val="en-US" w:eastAsia="zh-CN" w:bidi="ar"/>
              </w:rPr>
              <w:t>（四）业绩分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FCA385">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20分</w:t>
            </w:r>
          </w:p>
        </w:tc>
      </w:tr>
      <w:tr w14:paraId="28B1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A857E93">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（四）</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2C7A06E5">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业绩分</w:t>
            </w:r>
          </w:p>
        </w:tc>
        <w:tc>
          <w:tcPr>
            <w:tcW w:w="3604" w:type="pct"/>
            <w:tcBorders>
              <w:top w:val="single" w:color="000000" w:sz="4" w:space="0"/>
              <w:left w:val="single" w:color="000000" w:sz="4" w:space="0"/>
              <w:bottom w:val="single" w:color="000000" w:sz="4" w:space="0"/>
              <w:right w:val="single" w:color="000000" w:sz="4" w:space="0"/>
            </w:tcBorders>
            <w:noWrap w:val="0"/>
            <w:vAlign w:val="center"/>
          </w:tcPr>
          <w:p w14:paraId="60B86369">
            <w:pPr>
              <w:keepNext w:val="0"/>
              <w:keepLines w:val="0"/>
              <w:pageBreakBefore w:val="0"/>
              <w:widowControl w:val="0"/>
              <w:kinsoku/>
              <w:wordWrap w:val="0"/>
              <w:overflowPunct/>
              <w:topLinePunct w:val="0"/>
              <w:autoSpaceDE/>
              <w:autoSpaceDN/>
              <w:bidi w:val="0"/>
              <w:adjustRightInd/>
              <w:snapToGrid/>
              <w:spacing w:before="32" w:beforeLines="10" w:after="40" w:line="288" w:lineRule="auto"/>
              <w:jc w:val="left"/>
              <w:textAlignment w:val="auto"/>
              <w:rPr>
                <w:rFonts w:hint="default" w:ascii="宋体" w:hAnsi="Courier New" w:cstheme="minorBidi"/>
                <w:color w:val="auto"/>
                <w:szCs w:val="20"/>
              </w:rPr>
            </w:pPr>
            <w:r>
              <w:rPr>
                <w:rFonts w:hint="eastAsia" w:hAnsi="宋体" w:cs="宋体"/>
                <w:color w:val="auto"/>
                <w:szCs w:val="21"/>
                <w:highlight w:val="none"/>
              </w:rPr>
              <w:t>供应商2</w:t>
            </w:r>
            <w:r>
              <w:rPr>
                <w:rFonts w:hint="default" w:ascii="宋体" w:hAnsi="Courier New" w:cstheme="minorBidi"/>
                <w:color w:val="auto"/>
                <w:szCs w:val="20"/>
              </w:rPr>
              <w:t>02</w:t>
            </w:r>
            <w:r>
              <w:rPr>
                <w:rFonts w:hint="default" w:ascii="宋体" w:hAnsi="Courier New" w:cstheme="minorBidi"/>
                <w:color w:val="auto"/>
                <w:szCs w:val="20"/>
                <w:lang w:val="en-US" w:eastAsia="zh-CN"/>
              </w:rPr>
              <w:t>1</w:t>
            </w:r>
            <w:r>
              <w:rPr>
                <w:rFonts w:hint="default" w:ascii="宋体" w:hAnsi="Courier New" w:cstheme="minorBidi"/>
                <w:color w:val="auto"/>
                <w:szCs w:val="20"/>
              </w:rPr>
              <w:t>年以来的同类项目业绩。</w:t>
            </w:r>
          </w:p>
          <w:p w14:paraId="2F39EE98">
            <w:pPr>
              <w:pStyle w:val="13"/>
              <w:spacing w:after="40" w:line="288" w:lineRule="auto"/>
              <w:ind w:firstLine="440" w:firstLineChars="200"/>
              <w:rPr>
                <w:rFonts w:hint="eastAsia" w:hAnsi="宋体" w:cs="宋体"/>
                <w:color w:val="auto"/>
                <w:szCs w:val="21"/>
                <w:highlight w:val="none"/>
                <w:lang w:eastAsia="zh-CN"/>
              </w:rPr>
            </w:pPr>
            <w:r>
              <w:rPr>
                <w:rFonts w:ascii="Calibri" w:hAnsi="Calibri"/>
                <w:color w:val="auto"/>
              </w:rPr>
              <w:t>注：</w:t>
            </w:r>
            <w:r>
              <w:rPr>
                <w:color w:val="auto"/>
              </w:rPr>
              <w:t>须</w:t>
            </w:r>
            <w:r>
              <w:rPr>
                <w:rFonts w:hint="eastAsia"/>
                <w:color w:val="auto"/>
                <w:lang w:eastAsia="zh-CN"/>
              </w:rPr>
              <w:t>同时</w:t>
            </w:r>
            <w:r>
              <w:rPr>
                <w:color w:val="auto"/>
              </w:rPr>
              <w:t>提供中标</w:t>
            </w:r>
            <w:r>
              <w:rPr>
                <w:rFonts w:hint="eastAsia" w:hAnsi="宋体"/>
                <w:color w:val="auto"/>
                <w:szCs w:val="21"/>
              </w:rPr>
              <w:t>（成交）</w:t>
            </w:r>
            <w:r>
              <w:rPr>
                <w:color w:val="auto"/>
              </w:rPr>
              <w:t>通知</w:t>
            </w:r>
            <w:r>
              <w:rPr>
                <w:rFonts w:hint="eastAsia"/>
                <w:color w:val="auto"/>
              </w:rPr>
              <w:t>书</w:t>
            </w:r>
            <w:r>
              <w:rPr>
                <w:rFonts w:hint="eastAsia"/>
                <w:color w:val="auto"/>
                <w:lang w:eastAsia="zh-CN"/>
              </w:rPr>
              <w:t>（</w:t>
            </w:r>
            <w:r>
              <w:rPr>
                <w:color w:val="auto"/>
              </w:rPr>
              <w:t>或合同复印件</w:t>
            </w:r>
            <w:r>
              <w:rPr>
                <w:rFonts w:hint="eastAsia"/>
                <w:color w:val="auto"/>
                <w:lang w:eastAsia="zh-CN"/>
              </w:rPr>
              <w:t>）以及正式发布的标准文本，</w:t>
            </w:r>
            <w:r>
              <w:rPr>
                <w:color w:val="auto"/>
              </w:rPr>
              <w:t>并加盖公章，不提供复印件、不加盖公章的不得分。</w:t>
            </w:r>
            <w:r>
              <w:rPr>
                <w:rFonts w:hint="eastAsia"/>
                <w:color w:val="auto"/>
                <w:lang w:eastAsia="zh-CN"/>
              </w:rPr>
              <w:t>合同提供封面及盖章页，标准文本提供</w:t>
            </w:r>
            <w:r>
              <w:rPr>
                <w:rFonts w:hint="eastAsia" w:hAnsi="宋体" w:cs="宋体"/>
                <w:color w:val="auto"/>
                <w:szCs w:val="21"/>
                <w:highlight w:val="none"/>
                <w:lang w:eastAsia="zh-CN"/>
              </w:rPr>
              <w:t>封面、前言、正文第一页。</w:t>
            </w:r>
          </w:p>
          <w:p w14:paraId="45F8DB79">
            <w:pPr>
              <w:ind w:firstLine="420" w:firstLineChars="200"/>
              <w:rPr>
                <w:rFonts w:hint="default" w:ascii="黑体" w:hAnsi="宋体" w:eastAsia="黑体" w:cs="黑体"/>
                <w:i w:val="0"/>
                <w:iCs w:val="0"/>
                <w:color w:val="auto"/>
                <w:sz w:val="21"/>
                <w:szCs w:val="21"/>
                <w:u w:val="none"/>
                <w:lang w:val="en-US" w:eastAsia="zh-CN"/>
              </w:rPr>
            </w:pPr>
            <w:r>
              <w:rPr>
                <w:rFonts w:hint="eastAsia" w:ascii="黑体" w:hAnsi="宋体" w:eastAsia="黑体" w:cs="黑体"/>
                <w:i w:val="0"/>
                <w:iCs w:val="0"/>
                <w:color w:val="auto"/>
                <w:sz w:val="21"/>
                <w:szCs w:val="21"/>
                <w:u w:val="none"/>
                <w:lang w:val="en-US" w:eastAsia="zh-CN"/>
              </w:rPr>
              <w:t>本项满分20分，其中：</w:t>
            </w:r>
          </w:p>
          <w:p w14:paraId="0DE57B9C">
            <w:pPr>
              <w:keepNext w:val="0"/>
              <w:keepLines w:val="0"/>
              <w:widowControl/>
              <w:suppressLineNumbers w:val="0"/>
              <w:ind w:firstLine="420" w:firstLineChars="200"/>
              <w:jc w:val="left"/>
              <w:textAlignment w:val="center"/>
              <w:rPr>
                <w:rFonts w:hint="default" w:ascii="黑体" w:hAnsi="宋体" w:eastAsia="黑体" w:cs="黑体"/>
                <w:i w:val="0"/>
                <w:iCs w:val="0"/>
                <w:color w:val="auto"/>
                <w:sz w:val="21"/>
                <w:szCs w:val="21"/>
                <w:u w:val="none"/>
                <w:lang w:val="en-US" w:eastAsia="zh-CN"/>
              </w:rPr>
            </w:pPr>
            <w:r>
              <w:rPr>
                <w:rFonts w:hint="eastAsia" w:ascii="黑体" w:hAnsi="宋体" w:eastAsia="黑体" w:cs="黑体"/>
                <w:i w:val="0"/>
                <w:iCs w:val="0"/>
                <w:color w:val="auto"/>
                <w:sz w:val="21"/>
                <w:szCs w:val="21"/>
                <w:u w:val="none"/>
                <w:lang w:val="en-US" w:eastAsia="zh-CN"/>
              </w:rPr>
              <w:t xml:space="preserve">（1）供应商提供以往类似地方标准项目业绩，每个项目得2分，满分8分。不提供不得分。 </w:t>
            </w:r>
          </w:p>
          <w:p w14:paraId="7C64884A">
            <w:pPr>
              <w:keepNext w:val="0"/>
              <w:keepLines w:val="0"/>
              <w:widowControl/>
              <w:suppressLineNumbers w:val="0"/>
              <w:ind w:firstLine="420" w:firstLineChars="200"/>
              <w:jc w:val="left"/>
              <w:textAlignment w:val="center"/>
              <w:rPr>
                <w:rFonts w:hint="eastAsia" w:ascii="黑体" w:hAnsi="宋体" w:eastAsia="黑体" w:cs="黑体"/>
                <w:i w:val="0"/>
                <w:iCs w:val="0"/>
                <w:color w:val="auto"/>
                <w:sz w:val="21"/>
                <w:szCs w:val="21"/>
                <w:u w:val="none"/>
                <w:lang w:val="en-US" w:eastAsia="zh-CN"/>
              </w:rPr>
            </w:pPr>
            <w:r>
              <w:rPr>
                <w:rFonts w:hint="eastAsia" w:ascii="黑体" w:hAnsi="宋体" w:eastAsia="黑体" w:cs="黑体"/>
                <w:i w:val="0"/>
                <w:iCs w:val="0"/>
                <w:color w:val="auto"/>
                <w:sz w:val="21"/>
                <w:szCs w:val="21"/>
                <w:u w:val="none"/>
                <w:lang w:val="en-US" w:eastAsia="zh-CN"/>
              </w:rPr>
              <w:t>（2）供应商提供以往类似团体标准项目业绩，每个项目得2分，满分12分。不提供不得分。</w:t>
            </w:r>
          </w:p>
          <w:p w14:paraId="75A814FA">
            <w:pPr>
              <w:keepNext w:val="0"/>
              <w:keepLines w:val="0"/>
              <w:widowControl/>
              <w:suppressLineNumbers w:val="0"/>
              <w:ind w:firstLine="420" w:firstLineChars="200"/>
              <w:jc w:val="left"/>
              <w:textAlignment w:val="center"/>
              <w:rPr>
                <w:rFonts w:hint="default" w:ascii="黑体" w:hAnsi="宋体" w:eastAsia="黑体" w:cs="黑体"/>
                <w:i w:val="0"/>
                <w:iCs w:val="0"/>
                <w:color w:val="auto"/>
                <w:sz w:val="21"/>
                <w:szCs w:val="21"/>
                <w:u w:val="none"/>
                <w:lang w:val="en-US" w:eastAsia="zh-CN"/>
              </w:rPr>
            </w:pPr>
            <w:r>
              <w:rPr>
                <w:rFonts w:hint="default" w:ascii="黑体" w:hAnsi="宋体" w:eastAsia="黑体" w:cs="黑体"/>
                <w:i w:val="0"/>
                <w:iCs w:val="0"/>
                <w:color w:val="auto"/>
                <w:sz w:val="21"/>
                <w:szCs w:val="21"/>
                <w:u w:val="none"/>
                <w:lang w:val="en-US" w:eastAsia="zh-CN"/>
              </w:rPr>
              <w:t>本项不重复计分。</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2A63DF">
            <w:pPr>
              <w:keepNext w:val="0"/>
              <w:keepLines w:val="0"/>
              <w:widowControl/>
              <w:suppressLineNumbers w:val="0"/>
              <w:jc w:val="both"/>
              <w:textAlignment w:val="center"/>
              <w:rPr>
                <w:rFonts w:hint="default" w:ascii="方正仿宋_GBK" w:hAnsi="方正仿宋_GBK" w:eastAsia="方正仿宋_GBK" w:cs="方正仿宋_GBK"/>
                <w:i w:val="0"/>
                <w:iCs w:val="0"/>
                <w:strike/>
                <w:dstrike w:val="0"/>
                <w:color w:val="auto"/>
                <w:kern w:val="0"/>
                <w:sz w:val="21"/>
                <w:szCs w:val="21"/>
                <w:highlight w:val="red"/>
                <w:u w:val="none"/>
                <w:lang w:val="en-US" w:eastAsia="zh-CN" w:bidi="ar"/>
              </w:rPr>
            </w:pPr>
            <w:r>
              <w:rPr>
                <w:rFonts w:hint="eastAsia" w:ascii="黑体" w:hAnsi="宋体" w:eastAsia="黑体" w:cs="黑体"/>
                <w:i w:val="0"/>
                <w:iCs w:val="0"/>
                <w:color w:val="auto"/>
                <w:sz w:val="21"/>
                <w:szCs w:val="21"/>
                <w:u w:val="none"/>
                <w:lang w:val="en-US" w:eastAsia="zh-CN"/>
              </w:rPr>
              <w:t>20分</w:t>
            </w:r>
          </w:p>
        </w:tc>
      </w:tr>
      <w:tr w14:paraId="2922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8" w:type="pct"/>
            <w:gridSpan w:val="3"/>
            <w:tcBorders>
              <w:top w:val="single" w:color="000000" w:sz="4" w:space="0"/>
              <w:left w:val="single" w:color="000000" w:sz="4" w:space="0"/>
              <w:bottom w:val="single" w:color="000000" w:sz="4" w:space="0"/>
              <w:right w:val="single" w:color="auto" w:sz="4" w:space="0"/>
            </w:tcBorders>
            <w:noWrap w:val="0"/>
            <w:vAlign w:val="center"/>
          </w:tcPr>
          <w:p w14:paraId="661D7C9D">
            <w:pPr>
              <w:keepNext w:val="0"/>
              <w:keepLines w:val="0"/>
              <w:widowControl/>
              <w:suppressLineNumbers w:val="0"/>
              <w:jc w:val="center"/>
              <w:textAlignment w:val="center"/>
              <w:rPr>
                <w:rFonts w:hint="eastAsia" w:hAnsi="宋体" w:cs="宋体"/>
                <w:b/>
                <w:bCs/>
                <w:color w:val="auto"/>
                <w:szCs w:val="21"/>
                <w:highlight w:val="none"/>
              </w:rPr>
            </w:pPr>
            <w:r>
              <w:rPr>
                <w:rFonts w:hint="eastAsia" w:hAnsi="宋体" w:cs="宋体"/>
                <w:b/>
                <w:bCs/>
                <w:color w:val="auto"/>
                <w:szCs w:val="21"/>
                <w:highlight w:val="none"/>
              </w:rPr>
              <w:t>总得分=</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一</w:t>
            </w:r>
            <w:r>
              <w:rPr>
                <w:rFonts w:hint="eastAsia" w:hAnsi="宋体" w:cs="宋体"/>
                <w:b/>
                <w:bCs/>
                <w:color w:val="auto"/>
                <w:szCs w:val="21"/>
                <w:highlight w:val="none"/>
                <w:lang w:eastAsia="zh-CN"/>
              </w:rPr>
              <w:t>）</w:t>
            </w:r>
            <w:r>
              <w:rPr>
                <w:rFonts w:hint="eastAsia" w:hAnsi="宋体" w:cs="宋体"/>
                <w:b/>
                <w:bCs/>
                <w:color w:val="auto"/>
                <w:szCs w:val="21"/>
                <w:highlight w:val="none"/>
              </w:rPr>
              <w:t>+</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二</w:t>
            </w:r>
            <w:r>
              <w:rPr>
                <w:rFonts w:hint="eastAsia" w:hAnsi="宋体" w:cs="宋体"/>
                <w:b/>
                <w:bCs/>
                <w:color w:val="auto"/>
                <w:szCs w:val="21"/>
                <w:highlight w:val="none"/>
                <w:lang w:eastAsia="zh-CN"/>
              </w:rPr>
              <w:t>）</w:t>
            </w:r>
            <w:r>
              <w:rPr>
                <w:rFonts w:hint="eastAsia" w:hAnsi="宋体" w:cs="宋体"/>
                <w:b/>
                <w:bCs/>
                <w:color w:val="auto"/>
                <w:szCs w:val="21"/>
                <w:highlight w:val="none"/>
              </w:rPr>
              <w:t xml:space="preserve"> +</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三</w:t>
            </w:r>
            <w:r>
              <w:rPr>
                <w:rFonts w:hint="eastAsia" w:hAnsi="宋体" w:cs="宋体"/>
                <w:b/>
                <w:bCs/>
                <w:color w:val="auto"/>
                <w:szCs w:val="21"/>
                <w:highlight w:val="none"/>
                <w:lang w:eastAsia="zh-CN"/>
              </w:rPr>
              <w:t>）</w:t>
            </w:r>
            <w:r>
              <w:rPr>
                <w:rFonts w:hint="eastAsia" w:hAnsi="宋体" w:cs="宋体"/>
                <w:b/>
                <w:bCs/>
                <w:color w:val="auto"/>
                <w:szCs w:val="21"/>
                <w:highlight w:val="none"/>
              </w:rPr>
              <w:t xml:space="preserve"> + </w:t>
            </w:r>
            <w:r>
              <w:rPr>
                <w:rFonts w:hint="eastAsia" w:hAnsi="宋体" w:cs="宋体"/>
                <w:b/>
                <w:bCs/>
                <w:color w:val="auto"/>
                <w:szCs w:val="21"/>
                <w:highlight w:val="none"/>
                <w:lang w:val="en-US" w:eastAsia="zh-CN"/>
              </w:rPr>
              <w:t>（四）</w:t>
            </w:r>
            <w:r>
              <w:rPr>
                <w:rFonts w:hint="eastAsia" w:hAnsi="宋体" w:cs="宋体"/>
                <w:b/>
                <w:bCs/>
                <w:color w:val="auto"/>
                <w:szCs w:val="21"/>
                <w:highlight w:val="none"/>
              </w:rPr>
              <w:t xml:space="preserve"> </w:t>
            </w:r>
          </w:p>
          <w:p w14:paraId="67788A90">
            <w:pPr>
              <w:keepNext w:val="0"/>
              <w:keepLines w:val="0"/>
              <w:widowControl/>
              <w:suppressLineNumbers w:val="0"/>
              <w:jc w:val="left"/>
              <w:textAlignment w:val="center"/>
              <w:rPr>
                <w:rFonts w:hint="default"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备注：</w:t>
            </w:r>
            <w:r>
              <w:rPr>
                <w:rFonts w:hint="eastAsia" w:hAnsi="宋体" w:cs="宋体"/>
                <w:b/>
                <w:bCs/>
                <w:color w:val="auto"/>
                <w:szCs w:val="21"/>
                <w:highlight w:val="none"/>
              </w:rPr>
              <w:t>技术方案</w:t>
            </w:r>
            <w:r>
              <w:rPr>
                <w:rFonts w:hint="eastAsia" w:hAnsi="宋体" w:cs="宋体"/>
                <w:b/>
                <w:bCs/>
                <w:color w:val="auto"/>
                <w:szCs w:val="21"/>
                <w:highlight w:val="none"/>
                <w:lang w:val="en-US" w:eastAsia="zh-CN"/>
              </w:rPr>
              <w:t>分标准不设评分区间，各评委对照评分等级和内容确定得分（例如某项的评分标准优为8分，良为5分时，不得评7分或者6分）。</w:t>
            </w:r>
          </w:p>
        </w:tc>
        <w:tc>
          <w:tcPr>
            <w:tcW w:w="461" w:type="pct"/>
            <w:tcBorders>
              <w:top w:val="single" w:color="000000" w:sz="4" w:space="0"/>
              <w:left w:val="single" w:color="auto" w:sz="4" w:space="0"/>
              <w:bottom w:val="single" w:color="000000" w:sz="4" w:space="0"/>
              <w:right w:val="single" w:color="000000" w:sz="4" w:space="0"/>
            </w:tcBorders>
            <w:noWrap w:val="0"/>
            <w:vAlign w:val="center"/>
          </w:tcPr>
          <w:p w14:paraId="0CC4397E">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100分</w:t>
            </w:r>
          </w:p>
        </w:tc>
      </w:tr>
    </w:tbl>
    <w:p w14:paraId="588DBA08">
      <w:pPr>
        <w:pStyle w:val="12"/>
        <w:spacing w:after="0" w:line="20" w:lineRule="exact"/>
        <w:ind w:firstLine="0" w:firstLineChars="0"/>
        <w:rPr>
          <w:rFonts w:ascii="仿宋" w:hAnsi="仿宋" w:eastAsia="仿宋" w:cs="仿宋"/>
          <w:szCs w:val="32"/>
        </w:rPr>
      </w:pPr>
    </w:p>
    <w:sectPr>
      <w:pgSz w:w="11906" w:h="16838"/>
      <w:pgMar w:top="1247" w:right="1417" w:bottom="124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DC4660-7126-43F9-82A3-87E637F1EDD3}"/>
  </w:font>
  <w:font w:name="黑体">
    <w:panose1 w:val="02010609060101010101"/>
    <w:charset w:val="86"/>
    <w:family w:val="auto"/>
    <w:pitch w:val="default"/>
    <w:sig w:usb0="800002BF" w:usb1="38CF7CFA" w:usb2="00000016" w:usb3="00000000" w:csb0="00040001" w:csb1="00000000"/>
    <w:embedRegular r:id="rId2" w:fontKey="{E397A464-C5D8-41A0-9306-F8CE3631683D}"/>
  </w:font>
  <w:font w:name="Courier New">
    <w:panose1 w:val="02070309020205020404"/>
    <w:charset w:val="01"/>
    <w:family w:val="modern"/>
    <w:pitch w:val="default"/>
    <w:sig w:usb0="E0002EFF" w:usb1="C0007843" w:usb2="00000009" w:usb3="00000000" w:csb0="400001FF" w:csb1="FFFF0000"/>
    <w:embedRegular r:id="rId3" w:fontKey="{CF1E6BA4-66FD-441C-91E0-2C08A3B62D0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B9ABBC3-BB0F-404F-BC36-5511DA299036}"/>
  </w:font>
  <w:font w:name="等线">
    <w:panose1 w:val="02010600030101010101"/>
    <w:charset w:val="86"/>
    <w:family w:val="auto"/>
    <w:pitch w:val="default"/>
    <w:sig w:usb0="A00002BF" w:usb1="38CF7CFA" w:usb2="00000016" w:usb3="00000000" w:csb0="0004000F" w:csb1="00000000"/>
    <w:embedRegular r:id="rId5" w:fontKey="{8B4AD6AC-0369-4826-919A-E773C2C31BB6}"/>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6" w:fontKey="{25E3156A-AF3A-44E7-8FE3-9DF2C8D6B437}"/>
  </w:font>
  <w:font w:name="仿宋">
    <w:panose1 w:val="02010609060101010101"/>
    <w:charset w:val="86"/>
    <w:family w:val="auto"/>
    <w:pitch w:val="default"/>
    <w:sig w:usb0="800002BF" w:usb1="38CF7CFA" w:usb2="00000016" w:usb3="00000000" w:csb0="00040001" w:csb1="00000000"/>
    <w:embedRegular r:id="rId7" w:fontKey="{A577A8D0-236A-4CAE-A966-A799744FDA6F}"/>
  </w:font>
  <w:font w:name="方正仿宋_GBK">
    <w:panose1 w:val="02000000000000000000"/>
    <w:charset w:val="86"/>
    <w:family w:val="auto"/>
    <w:pitch w:val="default"/>
    <w:sig w:usb0="A00002BF" w:usb1="38CF7CFA" w:usb2="00082016" w:usb3="00000000" w:csb0="00040001" w:csb1="00000000"/>
    <w:embedRegular r:id="rId8" w:fontKey="{973E138E-81A9-42CB-9240-2A4B23C9EDC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NjgwOWJiYmZkMjQ3NjI5Y2JmYjFjMmI4MWIxYTMifQ=="/>
  </w:docVars>
  <w:rsids>
    <w:rsidRoot w:val="00D36C86"/>
    <w:rsid w:val="000421ED"/>
    <w:rsid w:val="000E6D37"/>
    <w:rsid w:val="00102793"/>
    <w:rsid w:val="00143E8F"/>
    <w:rsid w:val="00205B7D"/>
    <w:rsid w:val="002F2E59"/>
    <w:rsid w:val="003339E4"/>
    <w:rsid w:val="003A6517"/>
    <w:rsid w:val="003F3602"/>
    <w:rsid w:val="004136BB"/>
    <w:rsid w:val="00453B86"/>
    <w:rsid w:val="004C4D1A"/>
    <w:rsid w:val="005673EA"/>
    <w:rsid w:val="005C666F"/>
    <w:rsid w:val="006335B5"/>
    <w:rsid w:val="0074011D"/>
    <w:rsid w:val="00754036"/>
    <w:rsid w:val="007E2FAC"/>
    <w:rsid w:val="008B0221"/>
    <w:rsid w:val="008B19D1"/>
    <w:rsid w:val="00955B23"/>
    <w:rsid w:val="00A511F5"/>
    <w:rsid w:val="00AC28C0"/>
    <w:rsid w:val="00AC623A"/>
    <w:rsid w:val="00B26964"/>
    <w:rsid w:val="00BC5CCC"/>
    <w:rsid w:val="00C037AC"/>
    <w:rsid w:val="00C45698"/>
    <w:rsid w:val="00C768A7"/>
    <w:rsid w:val="00C8452A"/>
    <w:rsid w:val="00D36C86"/>
    <w:rsid w:val="00D70859"/>
    <w:rsid w:val="00D9480F"/>
    <w:rsid w:val="00E01215"/>
    <w:rsid w:val="00E521F4"/>
    <w:rsid w:val="00E56998"/>
    <w:rsid w:val="00F66BC8"/>
    <w:rsid w:val="00FF6950"/>
    <w:rsid w:val="025901E7"/>
    <w:rsid w:val="04327652"/>
    <w:rsid w:val="07916368"/>
    <w:rsid w:val="07E321F6"/>
    <w:rsid w:val="0C6413AE"/>
    <w:rsid w:val="0DD556CD"/>
    <w:rsid w:val="119F387D"/>
    <w:rsid w:val="1369184B"/>
    <w:rsid w:val="14751383"/>
    <w:rsid w:val="148F131D"/>
    <w:rsid w:val="14EA0EEC"/>
    <w:rsid w:val="1540755E"/>
    <w:rsid w:val="19506866"/>
    <w:rsid w:val="197C5CF1"/>
    <w:rsid w:val="1A3A6DF7"/>
    <w:rsid w:val="1AF41F85"/>
    <w:rsid w:val="1AF778C7"/>
    <w:rsid w:val="214300FC"/>
    <w:rsid w:val="242B76EC"/>
    <w:rsid w:val="244119C2"/>
    <w:rsid w:val="248D4E78"/>
    <w:rsid w:val="25C63F05"/>
    <w:rsid w:val="28503A95"/>
    <w:rsid w:val="28B642C5"/>
    <w:rsid w:val="2DE71976"/>
    <w:rsid w:val="2F43292A"/>
    <w:rsid w:val="31E23CB3"/>
    <w:rsid w:val="321A4B33"/>
    <w:rsid w:val="333B4D9D"/>
    <w:rsid w:val="33666962"/>
    <w:rsid w:val="360F0E75"/>
    <w:rsid w:val="37AB38CA"/>
    <w:rsid w:val="3AA9472F"/>
    <w:rsid w:val="3B7330C1"/>
    <w:rsid w:val="3D091FB1"/>
    <w:rsid w:val="42D647E3"/>
    <w:rsid w:val="44620A25"/>
    <w:rsid w:val="46126587"/>
    <w:rsid w:val="462547B0"/>
    <w:rsid w:val="4B4A513F"/>
    <w:rsid w:val="4F967FBC"/>
    <w:rsid w:val="5037015C"/>
    <w:rsid w:val="52983BC9"/>
    <w:rsid w:val="552349BA"/>
    <w:rsid w:val="57E919B3"/>
    <w:rsid w:val="5E2E6A5D"/>
    <w:rsid w:val="5FB24601"/>
    <w:rsid w:val="612A5E5E"/>
    <w:rsid w:val="672E338E"/>
    <w:rsid w:val="6AA56830"/>
    <w:rsid w:val="6AFD14AA"/>
    <w:rsid w:val="6DDA3DCA"/>
    <w:rsid w:val="6FF670A4"/>
    <w:rsid w:val="704D5C29"/>
    <w:rsid w:val="737A56F7"/>
    <w:rsid w:val="73DD3DF8"/>
    <w:rsid w:val="73E64D5A"/>
    <w:rsid w:val="74E97204"/>
    <w:rsid w:val="75520584"/>
    <w:rsid w:val="75A51D92"/>
    <w:rsid w:val="76514429"/>
    <w:rsid w:val="7A440A39"/>
    <w:rsid w:val="7ADC2288"/>
    <w:rsid w:val="7E0C2790"/>
    <w:rsid w:val="7EC1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2"/>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3"/>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4"/>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style>
  <w:style w:type="paragraph" w:styleId="12">
    <w:name w:val="Body Text"/>
    <w:basedOn w:val="1"/>
    <w:qFormat/>
    <w:uiPriority w:val="0"/>
    <w:pPr>
      <w:adjustRightInd w:val="0"/>
      <w:spacing w:line="360" w:lineRule="exact"/>
      <w:ind w:firstLine="200" w:firstLineChars="200"/>
    </w:pPr>
    <w:rPr>
      <w:rFonts w:eastAsia="仿宋_GB2312"/>
      <w:sz w:val="32"/>
      <w:szCs w:val="22"/>
    </w:rPr>
  </w:style>
  <w:style w:type="paragraph" w:styleId="13">
    <w:name w:val="Plain Text"/>
    <w:basedOn w:val="1"/>
    <w:next w:val="1"/>
    <w:qFormat/>
    <w:uiPriority w:val="0"/>
    <w:rPr>
      <w:rFonts w:ascii="宋体" w:hAnsi="Courier New"/>
      <w:szCs w:val="20"/>
    </w:rPr>
  </w:style>
  <w:style w:type="paragraph" w:styleId="14">
    <w:name w:val="Balloon Text"/>
    <w:basedOn w:val="1"/>
    <w:link w:val="50"/>
    <w:semiHidden/>
    <w:unhideWhenUsed/>
    <w:qFormat/>
    <w:uiPriority w:val="99"/>
    <w:pPr>
      <w:spacing w:after="0" w:line="240" w:lineRule="auto"/>
    </w:pPr>
    <w:rPr>
      <w:sz w:val="18"/>
      <w:szCs w:val="18"/>
    </w:rPr>
  </w:style>
  <w:style w:type="paragraph" w:styleId="15">
    <w:name w:val="footer"/>
    <w:basedOn w:val="1"/>
    <w:link w:val="47"/>
    <w:autoRedefine/>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46"/>
    <w:autoRedefine/>
    <w:unhideWhenUsed/>
    <w:qFormat/>
    <w:uiPriority w:val="99"/>
    <w:pPr>
      <w:tabs>
        <w:tab w:val="center" w:pos="4153"/>
        <w:tab w:val="right" w:pos="8306"/>
      </w:tabs>
      <w:snapToGrid w:val="0"/>
      <w:spacing w:line="240" w:lineRule="auto"/>
      <w:jc w:val="center"/>
    </w:pPr>
    <w:rPr>
      <w:sz w:val="18"/>
      <w:szCs w:val="18"/>
    </w:rPr>
  </w:style>
  <w:style w:type="paragraph" w:styleId="17">
    <w:name w:val="Subtitle"/>
    <w:basedOn w:val="1"/>
    <w:next w:val="1"/>
    <w:link w:val="38"/>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qFormat/>
    <w:uiPriority w:val="0"/>
    <w:rPr>
      <w:sz w:val="24"/>
    </w:rPr>
  </w:style>
  <w:style w:type="paragraph" w:styleId="19">
    <w:name w:val="Title"/>
    <w:basedOn w:val="1"/>
    <w:next w:val="1"/>
    <w:link w:val="37"/>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1"/>
    <w:next w:val="11"/>
    <w:link w:val="52"/>
    <w:semiHidden/>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TML Code"/>
    <w:basedOn w:val="23"/>
    <w:qFormat/>
    <w:uiPriority w:val="0"/>
    <w:rPr>
      <w:rFonts w:ascii="Courier New" w:hAnsi="Courier New"/>
      <w:sz w:val="20"/>
    </w:rPr>
  </w:style>
  <w:style w:type="character" w:styleId="26">
    <w:name w:val="annotation reference"/>
    <w:basedOn w:val="23"/>
    <w:semiHidden/>
    <w:unhideWhenUsed/>
    <w:qFormat/>
    <w:uiPriority w:val="99"/>
    <w:rPr>
      <w:sz w:val="21"/>
      <w:szCs w:val="21"/>
    </w:rPr>
  </w:style>
  <w:style w:type="paragraph" w:customStyle="1" w:styleId="27">
    <w:name w:val="表格文字"/>
    <w:basedOn w:val="1"/>
    <w:next w:val="12"/>
    <w:qFormat/>
    <w:uiPriority w:val="0"/>
    <w:pPr>
      <w:spacing w:before="25" w:after="25"/>
    </w:pPr>
    <w:rPr>
      <w:bCs/>
      <w:spacing w:val="10"/>
      <w:kern w:val="0"/>
      <w:sz w:val="24"/>
      <w:szCs w:val="20"/>
    </w:rPr>
  </w:style>
  <w:style w:type="character" w:customStyle="1" w:styleId="28">
    <w:name w:val="标题 3 字符"/>
    <w:basedOn w:val="23"/>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1 字符"/>
    <w:basedOn w:val="23"/>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3"/>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31">
    <w:name w:val="标题 4 字符"/>
    <w:basedOn w:val="23"/>
    <w:link w:val="5"/>
    <w:autoRedefine/>
    <w:semiHidden/>
    <w:qFormat/>
    <w:uiPriority w:val="9"/>
    <w:rPr>
      <w:rFonts w:cstheme="majorBidi"/>
      <w:color w:val="104862" w:themeColor="accent1" w:themeShade="BF"/>
      <w:sz w:val="28"/>
      <w:szCs w:val="28"/>
    </w:rPr>
  </w:style>
  <w:style w:type="character" w:customStyle="1" w:styleId="32">
    <w:name w:val="标题 5 字符"/>
    <w:basedOn w:val="23"/>
    <w:link w:val="6"/>
    <w:autoRedefine/>
    <w:semiHidden/>
    <w:qFormat/>
    <w:uiPriority w:val="9"/>
    <w:rPr>
      <w:rFonts w:cstheme="majorBidi"/>
      <w:color w:val="104862" w:themeColor="accent1" w:themeShade="BF"/>
      <w:sz w:val="24"/>
    </w:rPr>
  </w:style>
  <w:style w:type="character" w:customStyle="1" w:styleId="33">
    <w:name w:val="标题 6 字符"/>
    <w:basedOn w:val="23"/>
    <w:link w:val="7"/>
    <w:autoRedefine/>
    <w:semiHidden/>
    <w:qFormat/>
    <w:uiPriority w:val="9"/>
    <w:rPr>
      <w:rFonts w:cstheme="majorBidi"/>
      <w:b/>
      <w:bCs/>
      <w:color w:val="104862" w:themeColor="accent1" w:themeShade="BF"/>
    </w:rPr>
  </w:style>
  <w:style w:type="character" w:customStyle="1" w:styleId="34">
    <w:name w:val="标题 7 字符"/>
    <w:basedOn w:val="23"/>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3"/>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3"/>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3"/>
    <w:link w:val="19"/>
    <w:autoRedefine/>
    <w:qFormat/>
    <w:uiPriority w:val="10"/>
    <w:rPr>
      <w:rFonts w:asciiTheme="majorHAnsi" w:hAnsiTheme="majorHAnsi" w:eastAsiaTheme="majorEastAsia" w:cstheme="majorBidi"/>
      <w:spacing w:val="-10"/>
      <w:kern w:val="28"/>
      <w:sz w:val="56"/>
      <w:szCs w:val="56"/>
    </w:rPr>
  </w:style>
  <w:style w:type="character" w:customStyle="1" w:styleId="38">
    <w:name w:val="副标题 字符"/>
    <w:basedOn w:val="23"/>
    <w:link w:val="17"/>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3"/>
    <w:link w:val="39"/>
    <w:autoRedefine/>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autoRedefine/>
    <w:qFormat/>
    <w:uiPriority w:val="34"/>
    <w:pPr>
      <w:ind w:left="720"/>
      <w:contextualSpacing/>
    </w:pPr>
  </w:style>
  <w:style w:type="character" w:customStyle="1" w:styleId="42">
    <w:name w:val="明显强调1"/>
    <w:basedOn w:val="23"/>
    <w:autoRedefine/>
    <w:qFormat/>
    <w:uiPriority w:val="21"/>
    <w:rPr>
      <w:i/>
      <w:iCs/>
      <w:color w:val="104862" w:themeColor="accent1" w:themeShade="BF"/>
    </w:rPr>
  </w:style>
  <w:style w:type="paragraph" w:styleId="43">
    <w:name w:val="Intense Quote"/>
    <w:basedOn w:val="1"/>
    <w:next w:val="1"/>
    <w:link w:val="4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4">
    <w:name w:val="明显引用 字符"/>
    <w:basedOn w:val="23"/>
    <w:link w:val="43"/>
    <w:autoRedefine/>
    <w:qFormat/>
    <w:uiPriority w:val="30"/>
    <w:rPr>
      <w:i/>
      <w:iCs/>
      <w:color w:val="104862" w:themeColor="accent1" w:themeShade="BF"/>
    </w:rPr>
  </w:style>
  <w:style w:type="character" w:customStyle="1" w:styleId="45">
    <w:name w:val="明显参考1"/>
    <w:basedOn w:val="23"/>
    <w:autoRedefine/>
    <w:qFormat/>
    <w:uiPriority w:val="32"/>
    <w:rPr>
      <w:b/>
      <w:bCs/>
      <w:smallCaps/>
      <w:color w:val="104862" w:themeColor="accent1" w:themeShade="BF"/>
      <w:spacing w:val="5"/>
    </w:rPr>
  </w:style>
  <w:style w:type="character" w:customStyle="1" w:styleId="46">
    <w:name w:val="页眉 字符"/>
    <w:basedOn w:val="23"/>
    <w:link w:val="16"/>
    <w:autoRedefine/>
    <w:qFormat/>
    <w:uiPriority w:val="99"/>
    <w:rPr>
      <w:sz w:val="18"/>
      <w:szCs w:val="18"/>
    </w:rPr>
  </w:style>
  <w:style w:type="character" w:customStyle="1" w:styleId="47">
    <w:name w:val="页脚 字符"/>
    <w:basedOn w:val="23"/>
    <w:link w:val="15"/>
    <w:autoRedefine/>
    <w:qFormat/>
    <w:uiPriority w:val="99"/>
    <w:rPr>
      <w:sz w:val="18"/>
      <w:szCs w:val="18"/>
    </w:rPr>
  </w:style>
  <w:style w:type="paragraph" w:customStyle="1" w:styleId="48">
    <w:name w:val="Table Text"/>
    <w:basedOn w:val="1"/>
    <w:semiHidden/>
    <w:qFormat/>
    <w:uiPriority w:val="0"/>
    <w:rPr>
      <w:rFonts w:ascii="宋体" w:hAnsi="宋体" w:eastAsia="宋体" w:cs="宋体"/>
      <w:sz w:val="21"/>
      <w:szCs w:val="21"/>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批注框文本 字符"/>
    <w:basedOn w:val="23"/>
    <w:link w:val="14"/>
    <w:semiHidden/>
    <w:qFormat/>
    <w:uiPriority w:val="99"/>
    <w:rPr>
      <w:rFonts w:asciiTheme="minorHAnsi" w:hAnsiTheme="minorHAnsi" w:eastAsiaTheme="minorEastAsia" w:cstheme="minorBidi"/>
      <w:kern w:val="2"/>
      <w:sz w:val="18"/>
      <w:szCs w:val="18"/>
      <w14:ligatures w14:val="standardContextual"/>
    </w:rPr>
  </w:style>
  <w:style w:type="character" w:customStyle="1" w:styleId="51">
    <w:name w:val="批注文字 字符"/>
    <w:basedOn w:val="23"/>
    <w:link w:val="11"/>
    <w:semiHidden/>
    <w:qFormat/>
    <w:uiPriority w:val="99"/>
    <w:rPr>
      <w:rFonts w:asciiTheme="minorHAnsi" w:hAnsiTheme="minorHAnsi" w:eastAsiaTheme="minorEastAsia" w:cstheme="minorBidi"/>
      <w:kern w:val="2"/>
      <w:sz w:val="22"/>
      <w:szCs w:val="24"/>
      <w14:ligatures w14:val="standardContextual"/>
    </w:rPr>
  </w:style>
  <w:style w:type="character" w:customStyle="1" w:styleId="52">
    <w:name w:val="批注主题 字符"/>
    <w:basedOn w:val="51"/>
    <w:link w:val="20"/>
    <w:semiHidden/>
    <w:qFormat/>
    <w:uiPriority w:val="99"/>
    <w:rPr>
      <w:rFonts w:asciiTheme="minorHAnsi" w:hAnsiTheme="minorHAnsi" w:eastAsiaTheme="minorEastAsia" w:cstheme="minorBidi"/>
      <w:b/>
      <w:bCs/>
      <w:kern w:val="2"/>
      <w:sz w:val="22"/>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5077</Words>
  <Characters>5270</Characters>
  <Lines>22</Lines>
  <Paragraphs>6</Paragraphs>
  <TotalTime>56</TotalTime>
  <ScaleCrop>false</ScaleCrop>
  <LinksUpToDate>false</LinksUpToDate>
  <CharactersWithSpaces>5306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2025-06-23T00:38:00Z</dcterms:created>
  <dc:creator>min li</dc:creator>
  <cp:lastModifiedBy>我爱熊猫</cp:lastModifiedBy>
  <cp:lastPrinted>2025-07-16T03:16:00Z</cp:lastPrinted>
  <dcterms:modified xsi:type="dcterms:W3CDTF">2025-07-25T08:00:37Z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9ED3738394814F3A82566065EF5E6C91_13</vt:lpwstr>
  </property>
  <property fmtid="{D5CDD505-2E9C-101B-9397-08002B2CF9AE}" pid="4" name="KSOTemplateDocerSaveRecord">
    <vt:lpwstr>eyJoZGlkIjoiYzRlYzk2ZGE4ZTc3YmQ2YzUwOTE0NThjY2Q0NjA3YjEiLCJ1c2VySWQiOiIyMzc0MzQyMjEifQ==</vt:lpwstr>
  </property>
</Properties>
</file>