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2B8D60">
      <w:pPr>
        <w:spacing w:line="360" w:lineRule="auto"/>
        <w:jc w:val="center"/>
        <w:rPr>
          <w:rFonts w:hint="eastAsia" w:eastAsiaTheme="minorEastAsia"/>
          <w:sz w:val="40"/>
          <w:szCs w:val="44"/>
          <w:lang w:val="en-US" w:eastAsia="zh-CN"/>
        </w:rPr>
      </w:pPr>
      <w:bookmarkStart w:id="0" w:name="_GoBack"/>
      <w:bookmarkEnd w:id="0"/>
      <w:r>
        <w:rPr>
          <w:rFonts w:hint="eastAsia"/>
          <w:sz w:val="40"/>
          <w:szCs w:val="44"/>
        </w:rPr>
        <w:t>分布式存储</w:t>
      </w:r>
      <w:r>
        <w:rPr>
          <w:rFonts w:hint="eastAsia"/>
          <w:sz w:val="40"/>
          <w:szCs w:val="44"/>
          <w:lang w:val="en-US" w:eastAsia="zh-CN"/>
        </w:rPr>
        <w:t>参数</w:t>
      </w:r>
    </w:p>
    <w:p w14:paraId="712FAA3F">
      <w:pPr>
        <w:spacing w:line="360" w:lineRule="auto"/>
        <w:rPr>
          <w:rFonts w:hint="eastAsia" w:eastAsiaTheme="minorEastAsia"/>
          <w:b/>
          <w:bCs/>
          <w:lang w:val="en-US" w:eastAsia="zh-CN"/>
        </w:rPr>
      </w:pPr>
      <w:r>
        <w:rPr>
          <w:rFonts w:hint="eastAsia"/>
          <w:b/>
          <w:bCs/>
          <w:lang w:val="en-US" w:eastAsia="zh-CN"/>
        </w:rPr>
        <w:t>一、分布式存储</w:t>
      </w:r>
    </w:p>
    <w:p w14:paraId="43E21874">
      <w:pPr>
        <w:spacing w:line="360" w:lineRule="auto"/>
        <w:rPr>
          <w:rFonts w:hint="default" w:eastAsiaTheme="minorEastAsia"/>
          <w:lang w:val="en-US" w:eastAsia="zh-CN"/>
        </w:rPr>
      </w:pPr>
      <w:r>
        <w:rPr>
          <w:rFonts w:hint="eastAsia"/>
        </w:rPr>
        <w:t>1</w:t>
      </w:r>
      <w:r>
        <w:t>.</w:t>
      </w:r>
      <w:r>
        <w:rPr>
          <w:rFonts w:hint="eastAsia"/>
        </w:rPr>
        <w:t>存储类型：分布式存储</w:t>
      </w:r>
    </w:p>
    <w:p w14:paraId="7DDD80E6">
      <w:pPr>
        <w:spacing w:line="360" w:lineRule="auto"/>
        <w:rPr>
          <w:highlight w:val="none"/>
        </w:rPr>
      </w:pPr>
      <w:r>
        <w:rPr>
          <w:rFonts w:hint="eastAsia"/>
        </w:rPr>
        <w:t>2</w:t>
      </w:r>
      <w:r>
        <w:t>.</w:t>
      </w:r>
      <w:r>
        <w:rPr>
          <w:rFonts w:hint="eastAsia"/>
        </w:rPr>
        <w:t>品牌规格：</w:t>
      </w:r>
      <w:commentRangeStart w:id="0"/>
      <w:commentRangeStart w:id="1"/>
      <w:r>
        <w:rPr>
          <w:rFonts w:hint="eastAsia"/>
          <w:highlight w:val="none"/>
        </w:rPr>
        <w:t>为保障后续产品的连续性，分布式存储拥有自主知识产权，</w:t>
      </w:r>
      <w:commentRangeEnd w:id="0"/>
      <w:r>
        <w:commentReference w:id="0"/>
      </w:r>
      <w:commentRangeEnd w:id="1"/>
      <w:r>
        <w:commentReference w:id="1"/>
      </w:r>
      <w:r>
        <w:rPr>
          <w:rFonts w:hint="eastAsia"/>
          <w:highlight w:val="none"/>
        </w:rPr>
        <w:t>硬件平台需满足平均无故障时间</w:t>
      </w:r>
      <w:r>
        <w:rPr>
          <w:highlight w:val="none"/>
        </w:rPr>
        <w:t>MTBF≥</w:t>
      </w:r>
      <w:r>
        <w:rPr>
          <w:rFonts w:hint="eastAsia"/>
          <w:highlight w:val="none"/>
        </w:rPr>
        <w:t>20</w:t>
      </w:r>
      <w:r>
        <w:rPr>
          <w:highlight w:val="none"/>
        </w:rPr>
        <w:t>0000小时</w:t>
      </w:r>
    </w:p>
    <w:p w14:paraId="62E41029">
      <w:pPr>
        <w:spacing w:line="360" w:lineRule="auto"/>
        <w:rPr>
          <w:rFonts w:hint="eastAsia" w:eastAsiaTheme="minorEastAsia"/>
          <w:highlight w:val="none"/>
          <w:lang w:eastAsia="zh-CN"/>
        </w:rPr>
      </w:pPr>
      <w:r>
        <w:rPr>
          <w:highlight w:val="none"/>
        </w:rPr>
        <w:t>3.</w:t>
      </w:r>
      <w:r>
        <w:rPr>
          <w:rFonts w:hint="eastAsia"/>
          <w:highlight w:val="none"/>
        </w:rPr>
        <w:t xml:space="preserve"> 硬件配置要求：本次配置存储节点控制器</w:t>
      </w:r>
      <w:r>
        <w:rPr>
          <w:rFonts w:hint="eastAsia"/>
          <w:highlight w:val="none"/>
          <w:lang w:val="en-US" w:eastAsia="zh-CN"/>
        </w:rPr>
        <w:t>1</w:t>
      </w:r>
      <w:r>
        <w:rPr>
          <w:highlight w:val="none"/>
        </w:rPr>
        <w:t>个</w:t>
      </w:r>
      <w:r>
        <w:rPr>
          <w:rFonts w:hint="eastAsia"/>
          <w:highlight w:val="none"/>
        </w:rPr>
        <w:t>；</w:t>
      </w:r>
      <w:r>
        <w:rPr>
          <w:highlight w:val="none"/>
        </w:rPr>
        <w:t>每个节点控制配置</w:t>
      </w:r>
      <w:r>
        <w:rPr>
          <w:rFonts w:hint="eastAsia"/>
          <w:highlight w:val="none"/>
          <w:lang w:val="en-US" w:eastAsia="zh-CN"/>
        </w:rPr>
        <w:t>不少于</w:t>
      </w:r>
      <w:r>
        <w:rPr>
          <w:highlight w:val="none"/>
        </w:rPr>
        <w:t>2颗</w:t>
      </w:r>
      <w:r>
        <w:rPr>
          <w:rFonts w:hint="eastAsia"/>
          <w:highlight w:val="none"/>
        </w:rPr>
        <w:t>处理器，单颗处理器内核</w:t>
      </w:r>
      <w:r>
        <w:rPr>
          <w:highlight w:val="none"/>
        </w:rPr>
        <w:t>≥12，</w:t>
      </w:r>
      <w:r>
        <w:rPr>
          <w:rFonts w:hint="eastAsia"/>
          <w:highlight w:val="none"/>
          <w:lang w:val="en-US" w:eastAsia="zh-CN"/>
        </w:rPr>
        <w:t>内存</w:t>
      </w:r>
      <w:r>
        <w:rPr>
          <w:highlight w:val="none"/>
        </w:rPr>
        <w:t>≥</w:t>
      </w:r>
      <w:r>
        <w:rPr>
          <w:rFonts w:hint="eastAsia"/>
          <w:highlight w:val="none"/>
        </w:rPr>
        <w:t>256</w:t>
      </w:r>
      <w:r>
        <w:rPr>
          <w:highlight w:val="none"/>
        </w:rPr>
        <w:t>G</w:t>
      </w:r>
      <w:r>
        <w:rPr>
          <w:rFonts w:hint="eastAsia"/>
          <w:highlight w:val="none"/>
        </w:rPr>
        <w:t xml:space="preserve"> DDR5</w:t>
      </w:r>
      <w:r>
        <w:rPr>
          <w:highlight w:val="none"/>
        </w:rPr>
        <w:t>，</w:t>
      </w:r>
      <w:r>
        <w:rPr>
          <w:rFonts w:hint="eastAsia"/>
          <w:highlight w:val="none"/>
          <w:lang w:val="en-US" w:eastAsia="zh-CN"/>
        </w:rPr>
        <w:t>系统盘</w:t>
      </w:r>
      <w:r>
        <w:rPr>
          <w:highlight w:val="none"/>
        </w:rPr>
        <w:t>≥2*</w:t>
      </w:r>
      <w:r>
        <w:rPr>
          <w:rFonts w:hint="eastAsia"/>
          <w:highlight w:val="none"/>
        </w:rPr>
        <w:t>96</w:t>
      </w:r>
      <w:r>
        <w:rPr>
          <w:highlight w:val="none"/>
        </w:rPr>
        <w:t>0GB SSD，</w:t>
      </w:r>
      <w:r>
        <w:rPr>
          <w:rFonts w:hint="eastAsia"/>
          <w:highlight w:val="none"/>
        </w:rPr>
        <w:t>加速&amp;元数据盘</w:t>
      </w:r>
      <w:r>
        <w:rPr>
          <w:highlight w:val="none"/>
        </w:rPr>
        <w:t>≥</w:t>
      </w:r>
      <w:r>
        <w:rPr>
          <w:rFonts w:hint="eastAsia"/>
          <w:highlight w:val="none"/>
        </w:rPr>
        <w:t>4 * 3.2TB NVME</w:t>
      </w:r>
      <w:r>
        <w:rPr>
          <w:highlight w:val="none"/>
        </w:rPr>
        <w:t xml:space="preserve"> SSD </w:t>
      </w:r>
      <w:r>
        <w:rPr>
          <w:rFonts w:hint="eastAsia"/>
          <w:highlight w:val="none"/>
        </w:rPr>
        <w:t>，</w:t>
      </w:r>
      <w:r>
        <w:rPr>
          <w:rFonts w:hint="eastAsia"/>
          <w:highlight w:val="none"/>
          <w:lang w:val="en-US" w:eastAsia="zh-CN"/>
        </w:rPr>
        <w:t xml:space="preserve">业务数据盘 </w:t>
      </w:r>
      <w:r>
        <w:rPr>
          <w:highlight w:val="none"/>
        </w:rPr>
        <w:t>≥</w:t>
      </w:r>
      <w:r>
        <w:rPr>
          <w:rFonts w:hint="eastAsia"/>
          <w:highlight w:val="none"/>
        </w:rPr>
        <w:t>10</w:t>
      </w:r>
      <w:r>
        <w:rPr>
          <w:highlight w:val="none"/>
        </w:rPr>
        <w:t>块</w:t>
      </w:r>
      <w:r>
        <w:rPr>
          <w:rFonts w:hint="eastAsia"/>
          <w:highlight w:val="none"/>
        </w:rPr>
        <w:t>8</w:t>
      </w:r>
      <w:r>
        <w:rPr>
          <w:highlight w:val="none"/>
        </w:rPr>
        <w:t>TB 企业级</w:t>
      </w:r>
      <w:r>
        <w:rPr>
          <w:rFonts w:hint="eastAsia"/>
          <w:highlight w:val="none"/>
        </w:rPr>
        <w:t xml:space="preserve"> </w:t>
      </w:r>
      <w:r>
        <w:rPr>
          <w:highlight w:val="none"/>
        </w:rPr>
        <w:t>磁盘，</w:t>
      </w:r>
      <w:r>
        <w:rPr>
          <w:rFonts w:hint="eastAsia"/>
          <w:highlight w:val="none"/>
          <w:lang w:val="en-US" w:eastAsia="zh-CN"/>
        </w:rPr>
        <w:t>业务网口</w:t>
      </w:r>
      <w:r>
        <w:rPr>
          <w:highlight w:val="none"/>
        </w:rPr>
        <w:t>≥</w:t>
      </w:r>
      <w:r>
        <w:rPr>
          <w:rFonts w:hint="eastAsia"/>
          <w:highlight w:val="none"/>
          <w:lang w:val="en-US" w:eastAsia="zh-CN"/>
        </w:rPr>
        <w:t>4个</w:t>
      </w:r>
      <w:r>
        <w:rPr>
          <w:highlight w:val="none"/>
        </w:rPr>
        <w:t>10</w:t>
      </w:r>
      <w:r>
        <w:rPr>
          <w:rFonts w:hint="eastAsia"/>
          <w:highlight w:val="none"/>
        </w:rPr>
        <w:t>/25</w:t>
      </w:r>
      <w:r>
        <w:rPr>
          <w:highlight w:val="none"/>
        </w:rPr>
        <w:t>Gb以上</w:t>
      </w:r>
      <w:r>
        <w:rPr>
          <w:rFonts w:hint="eastAsia"/>
          <w:highlight w:val="none"/>
        </w:rPr>
        <w:t>（含</w:t>
      </w:r>
      <w:r>
        <w:rPr>
          <w:rFonts w:hint="eastAsia"/>
          <w:highlight w:val="none"/>
          <w:lang w:val="en-US" w:eastAsia="zh-CN"/>
        </w:rPr>
        <w:t>配套模块</w:t>
      </w:r>
      <w:r>
        <w:rPr>
          <w:rFonts w:hint="eastAsia"/>
          <w:highlight w:val="none"/>
        </w:rPr>
        <w:t>）</w:t>
      </w:r>
      <w:r>
        <w:rPr>
          <w:highlight w:val="none"/>
        </w:rPr>
        <w:t>，</w:t>
      </w:r>
      <w:r>
        <w:rPr>
          <w:rFonts w:hint="eastAsia"/>
          <w:highlight w:val="none"/>
          <w:lang w:val="en-US" w:eastAsia="zh-CN"/>
        </w:rPr>
        <w:t>配备</w:t>
      </w:r>
      <w:r>
        <w:rPr>
          <w:highlight w:val="none"/>
        </w:rPr>
        <w:t>冗余风扇</w:t>
      </w:r>
      <w:r>
        <w:rPr>
          <w:rFonts w:hint="eastAsia"/>
          <w:highlight w:val="none"/>
          <w:lang w:eastAsia="zh-CN"/>
        </w:rPr>
        <w:t>、</w:t>
      </w:r>
      <w:r>
        <w:rPr>
          <w:rFonts w:hint="eastAsia"/>
          <w:highlight w:val="none"/>
          <w:lang w:val="en-US" w:eastAsia="zh-CN"/>
        </w:rPr>
        <w:t>冗余</w:t>
      </w:r>
      <w:r>
        <w:rPr>
          <w:highlight w:val="none"/>
        </w:rPr>
        <w:t>电源</w:t>
      </w:r>
      <w:r>
        <w:rPr>
          <w:rFonts w:hint="eastAsia"/>
          <w:highlight w:val="none"/>
          <w:lang w:eastAsia="zh-CN"/>
        </w:rPr>
        <w:t>，</w:t>
      </w:r>
      <w:r>
        <w:rPr>
          <w:rFonts w:hint="eastAsia"/>
          <w:highlight w:val="none"/>
        </w:rPr>
        <w:t>海量全对称</w:t>
      </w:r>
      <w:r>
        <w:rPr>
          <w:rFonts w:hint="eastAsia"/>
          <w:highlight w:val="none"/>
          <w:lang w:eastAsia="zh-CN"/>
        </w:rPr>
        <w:t>。</w:t>
      </w:r>
    </w:p>
    <w:p w14:paraId="6DD0CA2F">
      <w:pPr>
        <w:spacing w:line="360" w:lineRule="auto"/>
        <w:rPr>
          <w:highlight w:val="none"/>
        </w:rPr>
      </w:pPr>
      <w:r>
        <w:rPr>
          <w:rFonts w:hint="eastAsia"/>
          <w:highlight w:val="none"/>
        </w:rPr>
        <w:t>4</w:t>
      </w:r>
      <w:r>
        <w:rPr>
          <w:highlight w:val="none"/>
        </w:rPr>
        <w:t>.</w:t>
      </w:r>
      <w:r>
        <w:rPr>
          <w:rFonts w:hint="eastAsia"/>
          <w:highlight w:val="none"/>
        </w:rPr>
        <w:t>软件许可要求：</w:t>
      </w:r>
      <w:r>
        <w:rPr>
          <w:rFonts w:hint="eastAsia"/>
          <w:color w:val="000000" w:themeColor="text1"/>
          <w:highlight w:val="none"/>
          <w14:textFill>
            <w14:solidFill>
              <w14:schemeClr w14:val="tx1"/>
            </w14:solidFill>
          </w14:textFill>
        </w:rPr>
        <w:t>提供</w:t>
      </w:r>
      <w:r>
        <w:rPr>
          <w:rFonts w:hint="eastAsia"/>
          <w:color w:val="000000" w:themeColor="text1"/>
          <w:highlight w:val="none"/>
          <w:lang w:val="en-US" w:eastAsia="zh-CN"/>
          <w14:textFill>
            <w14:solidFill>
              <w14:schemeClr w14:val="tx1"/>
            </w14:solidFill>
          </w14:textFill>
        </w:rPr>
        <w:t>对应</w:t>
      </w:r>
      <w:r>
        <w:rPr>
          <w:color w:val="000000" w:themeColor="text1"/>
          <w:highlight w:val="none"/>
          <w14:textFill>
            <w14:solidFill>
              <w14:schemeClr w14:val="tx1"/>
            </w14:solidFill>
          </w14:textFill>
        </w:rPr>
        <w:t>节点</w:t>
      </w:r>
      <w:r>
        <w:rPr>
          <w:rFonts w:hint="eastAsia"/>
          <w:color w:val="000000" w:themeColor="text1"/>
          <w:highlight w:val="none"/>
          <w14:textFill>
            <w14:solidFill>
              <w14:schemeClr w14:val="tx1"/>
            </w14:solidFill>
          </w14:textFill>
        </w:rPr>
        <w:t>分布式存储许可，</w:t>
      </w:r>
      <w:r>
        <w:rPr>
          <w:rFonts w:hint="eastAsia"/>
          <w:color w:val="000000" w:themeColor="text1"/>
          <w:highlight w:val="none"/>
          <w:lang w:val="en-US" w:eastAsia="zh-CN"/>
          <w14:textFill>
            <w14:solidFill>
              <w14:schemeClr w14:val="tx1"/>
            </w14:solidFill>
          </w14:textFill>
        </w:rPr>
        <w:t>可</w:t>
      </w:r>
      <w:r>
        <w:rPr>
          <w:rFonts w:hint="eastAsia"/>
          <w:color w:val="000000" w:themeColor="text1"/>
          <w:highlight w:val="none"/>
          <w14:textFill>
            <w14:solidFill>
              <w14:schemeClr w14:val="tx1"/>
            </w14:solidFill>
          </w14:textFill>
        </w:rPr>
        <w:t>与</w:t>
      </w:r>
      <w:r>
        <w:rPr>
          <w:rFonts w:hint="eastAsia"/>
          <w:color w:val="000000" w:themeColor="text1"/>
          <w:highlight w:val="none"/>
          <w:lang w:val="en-US" w:eastAsia="zh-CN"/>
          <w14:textFill>
            <w14:solidFill>
              <w14:schemeClr w14:val="tx1"/>
            </w14:solidFill>
          </w14:textFill>
        </w:rPr>
        <w:t>院内现有同架构分布式存储节点</w:t>
      </w:r>
      <w:r>
        <w:rPr>
          <w:rFonts w:hint="eastAsia"/>
          <w:color w:val="000000" w:themeColor="text1"/>
          <w:highlight w:val="none"/>
          <w14:textFill>
            <w14:solidFill>
              <w14:schemeClr w14:val="tx1"/>
            </w14:solidFill>
          </w14:textFill>
        </w:rPr>
        <w:t>融合成统一存储资源池，</w:t>
      </w:r>
      <w:r>
        <w:rPr>
          <w:rFonts w:hint="eastAsia"/>
          <w:color w:val="000000" w:themeColor="text1"/>
          <w:highlight w:val="none"/>
          <w:lang w:val="en-US" w:eastAsia="zh-CN"/>
          <w14:textFill>
            <w14:solidFill>
              <w14:schemeClr w14:val="tx1"/>
            </w14:solidFill>
          </w14:textFill>
        </w:rPr>
        <w:t>进行</w:t>
      </w:r>
      <w:r>
        <w:rPr>
          <w:rFonts w:hint="eastAsia"/>
          <w:color w:val="000000" w:themeColor="text1"/>
          <w:highlight w:val="none"/>
          <w14:textFill>
            <w14:solidFill>
              <w14:schemeClr w14:val="tx1"/>
            </w14:solidFill>
          </w14:textFill>
        </w:rPr>
        <w:t>数据重构期间，确认数据无丢失，</w:t>
      </w:r>
      <w:r>
        <w:rPr>
          <w:rFonts w:hint="eastAsia"/>
          <w:color w:val="000000" w:themeColor="text1"/>
          <w:highlight w:val="none"/>
          <w:lang w:val="en-US" w:eastAsia="zh-CN"/>
          <w14:textFill>
            <w14:solidFill>
              <w14:schemeClr w14:val="tx1"/>
            </w14:solidFill>
          </w14:textFill>
        </w:rPr>
        <w:t>保证</w:t>
      </w:r>
      <w:r>
        <w:rPr>
          <w:rFonts w:hint="eastAsia"/>
          <w:color w:val="000000" w:themeColor="text1"/>
          <w:highlight w:val="none"/>
          <w14:textFill>
            <w14:solidFill>
              <w14:schemeClr w14:val="tx1"/>
            </w14:solidFill>
          </w14:textFill>
        </w:rPr>
        <w:t>业务不中断，应用响应不影响</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 xml:space="preserve"> </w:t>
      </w:r>
    </w:p>
    <w:p w14:paraId="7DE955E5">
      <w:pPr>
        <w:spacing w:line="360" w:lineRule="auto"/>
        <w:rPr>
          <w:highlight w:val="none"/>
        </w:rPr>
      </w:pPr>
      <w:r>
        <w:rPr>
          <w:rFonts w:hint="eastAsia"/>
          <w:highlight w:val="none"/>
        </w:rPr>
        <w:t>5</w:t>
      </w:r>
      <w:r>
        <w:rPr>
          <w:highlight w:val="none"/>
        </w:rPr>
        <w:t>.</w:t>
      </w:r>
      <w:r>
        <w:rPr>
          <w:rFonts w:hint="eastAsia"/>
          <w:highlight w:val="none"/>
        </w:rPr>
        <w:t xml:space="preserve"> 系统架构：采用集群架构，单一集群支持≥</w:t>
      </w:r>
      <w:r>
        <w:rPr>
          <w:highlight w:val="none"/>
        </w:rPr>
        <w:t>1024个节点；</w:t>
      </w:r>
      <w:r>
        <w:rPr>
          <w:rFonts w:hint="eastAsia"/>
          <w:highlight w:val="none"/>
        </w:rPr>
        <w:t>基于全对称分布式架构的存储软件，构筑在通用服务器硬件之上，通过软件层面的全分布式架构和数据冗余技术，来达到高可伸缩性和高可用性；无中心节点，性能、容量随节点数增加而线性增加。支持</w:t>
      </w:r>
      <w:r>
        <w:rPr>
          <w:rFonts w:hint="eastAsia"/>
          <w:color w:val="000000"/>
          <w:szCs w:val="21"/>
          <w:highlight w:val="none"/>
        </w:rPr>
        <w:t>软硬件解耦，支持第三方硬件平台。</w:t>
      </w:r>
    </w:p>
    <w:p w14:paraId="7B9136E3">
      <w:pPr>
        <w:spacing w:line="360" w:lineRule="auto"/>
        <w:rPr>
          <w:highlight w:val="none"/>
        </w:rPr>
      </w:pPr>
      <w:r>
        <w:rPr>
          <w:rFonts w:hint="eastAsia"/>
          <w:highlight w:val="none"/>
        </w:rPr>
        <w:t>6</w:t>
      </w:r>
      <w:r>
        <w:rPr>
          <w:highlight w:val="none"/>
        </w:rPr>
        <w:t>.</w:t>
      </w:r>
      <w:r>
        <w:rPr>
          <w:rFonts w:hint="eastAsia"/>
          <w:highlight w:val="none"/>
        </w:rPr>
        <w:t>存储协议：</w:t>
      </w:r>
      <w:r>
        <w:rPr>
          <w:rFonts w:hint="eastAsia"/>
          <w:color w:val="000000"/>
          <w:szCs w:val="21"/>
          <w:highlight w:val="none"/>
        </w:rPr>
        <w:t>支持i</w:t>
      </w:r>
      <w:r>
        <w:rPr>
          <w:color w:val="000000"/>
          <w:szCs w:val="21"/>
          <w:highlight w:val="none"/>
        </w:rPr>
        <w:t>SCSI</w:t>
      </w:r>
      <w:r>
        <w:rPr>
          <w:rFonts w:hint="eastAsia"/>
          <w:color w:val="000000"/>
          <w:szCs w:val="21"/>
          <w:highlight w:val="none"/>
        </w:rPr>
        <w:t>、NFS、SMB（CIFS）、FTP、S</w:t>
      </w:r>
      <w:r>
        <w:rPr>
          <w:color w:val="000000"/>
          <w:szCs w:val="21"/>
          <w:highlight w:val="none"/>
        </w:rPr>
        <w:t>3</w:t>
      </w:r>
      <w:r>
        <w:rPr>
          <w:rFonts w:hint="eastAsia"/>
          <w:color w:val="000000"/>
          <w:szCs w:val="21"/>
          <w:highlight w:val="none"/>
        </w:rPr>
        <w:t>等存储协议；</w:t>
      </w:r>
      <w:r>
        <w:rPr>
          <w:color w:val="000000"/>
          <w:szCs w:val="21"/>
          <w:highlight w:val="none"/>
        </w:rPr>
        <w:t>出于安全性考虑、不得在业务节点上安装文件系统私有客户端软件；</w:t>
      </w:r>
      <w:r>
        <w:rPr>
          <w:rFonts w:hint="eastAsia"/>
          <w:color w:val="000000"/>
          <w:szCs w:val="21"/>
          <w:highlight w:val="none"/>
          <w:lang w:val="en-US" w:eastAsia="zh-CN"/>
        </w:rPr>
        <w:t>支持</w:t>
      </w:r>
      <w:r>
        <w:rPr>
          <w:color w:val="000000"/>
          <w:szCs w:val="21"/>
          <w:highlight w:val="none"/>
        </w:rPr>
        <w:t>使用操作系统内置的NFS、SMB、FTP客户端软件或工具访问存储集群中的数据。</w:t>
      </w:r>
    </w:p>
    <w:p w14:paraId="45A21316">
      <w:pPr>
        <w:spacing w:line="360" w:lineRule="auto"/>
        <w:rPr>
          <w:color w:val="000000"/>
          <w:szCs w:val="21"/>
          <w:highlight w:val="none"/>
        </w:rPr>
      </w:pPr>
      <w:r>
        <w:rPr>
          <w:rFonts w:hint="eastAsia"/>
          <w:highlight w:val="none"/>
        </w:rPr>
        <w:t>7</w:t>
      </w:r>
      <w:r>
        <w:rPr>
          <w:highlight w:val="none"/>
        </w:rPr>
        <w:t>.</w:t>
      </w:r>
      <w:r>
        <w:rPr>
          <w:rFonts w:hint="eastAsia"/>
          <w:highlight w:val="none"/>
        </w:rPr>
        <w:t>数据保护：</w:t>
      </w:r>
      <w:r>
        <w:rPr>
          <w:rFonts w:hint="eastAsia"/>
          <w:color w:val="000000"/>
          <w:szCs w:val="21"/>
          <w:highlight w:val="none"/>
        </w:rPr>
        <w:t>支持副本和EC纠删码两种存储策略，支持数据2-6副本的存储策略和自定义的 K+M纠删码存储策略。</w:t>
      </w:r>
    </w:p>
    <w:p w14:paraId="77E8608F">
      <w:pPr>
        <w:spacing w:line="360" w:lineRule="auto"/>
        <w:rPr>
          <w:highlight w:val="none"/>
        </w:rPr>
      </w:pPr>
      <w:r>
        <w:rPr>
          <w:highlight w:val="none"/>
        </w:rPr>
        <w:t>8.</w:t>
      </w:r>
      <w:r>
        <w:rPr>
          <w:rFonts w:hint="eastAsia"/>
          <w:b/>
          <w:bCs/>
          <w:color w:val="000000"/>
          <w:szCs w:val="21"/>
          <w:highlight w:val="none"/>
        </w:rPr>
        <w:t xml:space="preserve"> 存储内部网络</w:t>
      </w:r>
      <w:r>
        <w:rPr>
          <w:rFonts w:hint="eastAsia"/>
          <w:highlight w:val="none"/>
        </w:rPr>
        <w:t>：支持10GE、25GE、40GE、100GE、200GE等以太网络。支持56G、100G、200G IB组网</w:t>
      </w:r>
      <w:r>
        <w:rPr>
          <w:rFonts w:hint="eastAsia"/>
          <w:highlight w:val="none"/>
          <w:lang w:eastAsia="zh-CN"/>
        </w:rPr>
        <w:t>，</w:t>
      </w:r>
      <w:r>
        <w:rPr>
          <w:rFonts w:hint="eastAsia"/>
          <w:highlight w:val="none"/>
          <w:lang w:val="en-US" w:eastAsia="zh-CN"/>
        </w:rPr>
        <w:t>组网架构需实现</w:t>
      </w:r>
      <w:r>
        <w:rPr>
          <w:rFonts w:hint="eastAsia"/>
          <w:highlight w:val="none"/>
        </w:rPr>
        <w:t>全冗余，</w:t>
      </w:r>
      <w:r>
        <w:rPr>
          <w:rFonts w:hint="eastAsia"/>
          <w:highlight w:val="none"/>
          <w:lang w:val="en-US" w:eastAsia="zh-CN"/>
        </w:rPr>
        <w:t>消除</w:t>
      </w:r>
      <w:r>
        <w:rPr>
          <w:rFonts w:hint="eastAsia"/>
          <w:highlight w:val="none"/>
        </w:rPr>
        <w:t>单点故障；内部网络采用多链路聚合技术，无需网络管理员做任何配置管理操作，即可高效利用后端网络所有链路带宽，同时具有冗余功能。</w:t>
      </w:r>
    </w:p>
    <w:p w14:paraId="28CD3580">
      <w:pPr>
        <w:spacing w:line="360" w:lineRule="auto"/>
        <w:rPr>
          <w:highlight w:val="none"/>
        </w:rPr>
      </w:pPr>
      <w:r>
        <w:rPr>
          <w:rFonts w:hint="eastAsia"/>
          <w:highlight w:val="none"/>
        </w:rPr>
        <w:t>9</w:t>
      </w:r>
      <w:r>
        <w:rPr>
          <w:highlight w:val="none"/>
        </w:rPr>
        <w:t>.</w:t>
      </w:r>
      <w:r>
        <w:rPr>
          <w:rFonts w:hint="eastAsia"/>
          <w:b/>
          <w:bCs/>
          <w:color w:val="000000"/>
          <w:szCs w:val="21"/>
          <w:highlight w:val="none"/>
        </w:rPr>
        <w:t xml:space="preserve"> 数据互通</w:t>
      </w:r>
      <w:r>
        <w:rPr>
          <w:rFonts w:hint="eastAsia"/>
          <w:highlight w:val="none"/>
        </w:rPr>
        <w:t>：文件对象协议数据互通，文件和对象为同一份数据，无需在不同池间复制数据。从文件写入数据立即可从对象读出，从对象写入数据立即可从文件读取，均无延迟。</w:t>
      </w:r>
    </w:p>
    <w:p w14:paraId="25C650CD">
      <w:pPr>
        <w:spacing w:line="360" w:lineRule="auto"/>
        <w:rPr>
          <w:rFonts w:hint="eastAsia"/>
          <w:highlight w:val="none"/>
        </w:rPr>
      </w:pPr>
      <w:r>
        <w:rPr>
          <w:rFonts w:hint="eastAsia"/>
          <w:highlight w:val="none"/>
        </w:rPr>
        <w:t>1</w:t>
      </w:r>
      <w:r>
        <w:rPr>
          <w:highlight w:val="none"/>
        </w:rPr>
        <w:t>0.</w:t>
      </w:r>
      <w:r>
        <w:rPr>
          <w:rFonts w:hint="eastAsia"/>
          <w:highlight w:val="none"/>
        </w:rPr>
        <w:t xml:space="preserve"> </w:t>
      </w:r>
      <w:r>
        <w:rPr>
          <w:rFonts w:hint="eastAsia"/>
          <w:b/>
          <w:bCs/>
          <w:highlight w:val="none"/>
        </w:rPr>
        <w:t>异构组建文件系统</w:t>
      </w:r>
      <w:r>
        <w:rPr>
          <w:rFonts w:hint="eastAsia"/>
          <w:highlight w:val="none"/>
        </w:rPr>
        <w:t>：支持异构架构节点混合部署，同一文件系统支持 x86、AArch64 架构节点接入，兼容多架构客户端挂载访问。</w:t>
      </w:r>
    </w:p>
    <w:p w14:paraId="6D398DA5">
      <w:pPr>
        <w:numPr>
          <w:ilvl w:val="0"/>
          <w:numId w:val="1"/>
        </w:numPr>
        <w:spacing w:line="360" w:lineRule="auto"/>
        <w:rPr>
          <w:highlight w:val="none"/>
        </w:rPr>
      </w:pPr>
      <w:r>
        <w:rPr>
          <w:rFonts w:hint="eastAsia"/>
          <w:b/>
          <w:bCs/>
          <w:highlight w:val="none"/>
        </w:rPr>
        <w:t>RDMA支</w:t>
      </w:r>
      <w:r>
        <w:rPr>
          <w:rFonts w:hint="eastAsia"/>
          <w:highlight w:val="none"/>
        </w:rPr>
        <w:t>持：前后端网络均支持RDMA技术，全路径实现高性能低延迟存取网络。</w:t>
      </w:r>
    </w:p>
    <w:p w14:paraId="64DCFB6E">
      <w:pPr>
        <w:spacing w:line="360" w:lineRule="auto"/>
        <w:rPr>
          <w:highlight w:val="none"/>
        </w:rPr>
      </w:pPr>
      <w:r>
        <w:rPr>
          <w:highlight w:val="none"/>
        </w:rPr>
        <w:t>12.</w:t>
      </w:r>
      <w:r>
        <w:rPr>
          <w:rFonts w:hint="eastAsia"/>
          <w:b/>
          <w:bCs/>
          <w:highlight w:val="none"/>
        </w:rPr>
        <w:t>SMB、NFS访问优化</w:t>
      </w:r>
      <w:r>
        <w:rPr>
          <w:highlight w:val="none"/>
        </w:rPr>
        <w:t>：</w:t>
      </w:r>
      <w:r>
        <w:rPr>
          <w:rFonts w:hint="eastAsia"/>
          <w:highlight w:val="none"/>
        </w:rPr>
        <w:t>支持使用多条普通的以太网链路“聚合”出更高的性能，无需网络管理员在前端网络上做特殊配置，即可高效利用多个以太网链路提供更高带宽；统一权限模型：SMB（CIFS）、NFS、FTP、S3共享时支持统一权限模型控制所有数据的访问权限，支持兼容Windows权限模型的ACL；</w:t>
      </w:r>
      <w:r>
        <w:rPr>
          <w:rFonts w:hint="eastAsia"/>
          <w:szCs w:val="21"/>
          <w:highlight w:val="none"/>
        </w:rPr>
        <w:t>支持对文件/目录设置多种ACL权限管理（读, 写, 追加, 读扩展属性, 修改扩展属性, 读ACL, 修改ACL, 删除子文件, 删除, 更改属主）。</w:t>
      </w:r>
    </w:p>
    <w:p w14:paraId="7DF87226">
      <w:pPr>
        <w:spacing w:line="360" w:lineRule="auto"/>
        <w:rPr>
          <w:highlight w:val="none"/>
        </w:rPr>
      </w:pPr>
      <w:r>
        <w:rPr>
          <w:rFonts w:hint="eastAsia"/>
          <w:highlight w:val="none"/>
        </w:rPr>
        <w:t>1</w:t>
      </w:r>
      <w:r>
        <w:rPr>
          <w:highlight w:val="none"/>
        </w:rPr>
        <w:t>3.</w:t>
      </w:r>
      <w:r>
        <w:rPr>
          <w:rFonts w:hint="eastAsia"/>
          <w:b/>
          <w:bCs/>
          <w:color w:val="000000"/>
          <w:szCs w:val="21"/>
          <w:highlight w:val="none"/>
        </w:rPr>
        <w:t xml:space="preserve"> QoS</w:t>
      </w:r>
      <w:r>
        <w:rPr>
          <w:rFonts w:hint="eastAsia"/>
          <w:highlight w:val="none"/>
        </w:rPr>
        <w:t xml:space="preserve">：支持配置QoS流量控制功能，可以对用户和客户端限制带宽和IOPS，可对共享限制带宽和IOPS </w:t>
      </w:r>
    </w:p>
    <w:p w14:paraId="7029A5A0">
      <w:pPr>
        <w:spacing w:line="360" w:lineRule="auto"/>
        <w:rPr>
          <w:highlight w:val="none"/>
        </w:rPr>
      </w:pPr>
      <w:r>
        <w:rPr>
          <w:rFonts w:hint="eastAsia"/>
          <w:highlight w:val="none"/>
        </w:rPr>
        <w:t>1</w:t>
      </w:r>
      <w:r>
        <w:rPr>
          <w:highlight w:val="none"/>
        </w:rPr>
        <w:t>4.</w:t>
      </w:r>
      <w:r>
        <w:rPr>
          <w:rFonts w:hint="eastAsia"/>
          <w:b/>
          <w:bCs/>
          <w:color w:val="000000"/>
          <w:szCs w:val="21"/>
          <w:highlight w:val="none"/>
        </w:rPr>
        <w:t xml:space="preserve"> </w:t>
      </w:r>
      <w:r>
        <w:rPr>
          <w:rFonts w:hint="eastAsia"/>
          <w:b/>
          <w:bCs/>
          <w:color w:val="000000"/>
          <w:szCs w:val="21"/>
          <w:highlight w:val="none"/>
          <w:lang w:val="en-US" w:eastAsia="zh-CN"/>
        </w:rPr>
        <w:t>数据</w:t>
      </w:r>
      <w:r>
        <w:rPr>
          <w:rFonts w:hint="eastAsia"/>
          <w:b/>
          <w:bCs/>
          <w:color w:val="000000"/>
          <w:szCs w:val="21"/>
          <w:highlight w:val="none"/>
        </w:rPr>
        <w:t>分层</w:t>
      </w:r>
      <w:r>
        <w:rPr>
          <w:rFonts w:hint="eastAsia"/>
          <w:highlight w:val="none"/>
        </w:rPr>
        <w:t>：支持数据分层功能，同一文件系统内支持闪存盘层与机械盘层，支持按照自定义策略进行数据自动迁移。</w:t>
      </w:r>
    </w:p>
    <w:p w14:paraId="7A5591FF">
      <w:pPr>
        <w:spacing w:line="360" w:lineRule="auto"/>
        <w:rPr>
          <w:highlight w:val="none"/>
        </w:rPr>
      </w:pPr>
      <w:r>
        <w:rPr>
          <w:rFonts w:hint="eastAsia"/>
          <w:highlight w:val="none"/>
        </w:rPr>
        <w:t>1</w:t>
      </w:r>
      <w:r>
        <w:rPr>
          <w:highlight w:val="none"/>
        </w:rPr>
        <w:t>5.</w:t>
      </w:r>
      <w:r>
        <w:rPr>
          <w:rFonts w:hint="eastAsia"/>
          <w:highlight w:val="none"/>
        </w:rPr>
        <w:t>用户管理：</w:t>
      </w:r>
      <w:r>
        <w:rPr>
          <w:rFonts w:hint="eastAsia"/>
          <w:highlight w:val="none"/>
          <w:lang w:val="en-US" w:eastAsia="zh-CN"/>
        </w:rPr>
        <w:t>支持</w:t>
      </w:r>
      <w:r>
        <w:rPr>
          <w:rFonts w:hint="eastAsia"/>
          <w:highlight w:val="none"/>
        </w:rPr>
        <w:t>灵活创建本地用户并分组，支持一个本地用户可同时归属一个主组与多个附属组；</w:t>
      </w:r>
      <w:r>
        <w:rPr>
          <w:rFonts w:hint="eastAsia"/>
          <w:color w:val="000000"/>
          <w:szCs w:val="21"/>
          <w:highlight w:val="none"/>
        </w:rPr>
        <w:t>支持AD域用户接入，文件夹共享时针对AD域用户或用户组设置共享权限。</w:t>
      </w:r>
    </w:p>
    <w:p w14:paraId="3A2C83CA">
      <w:pPr>
        <w:spacing w:line="360" w:lineRule="auto"/>
        <w:rPr>
          <w:highlight w:val="none"/>
        </w:rPr>
      </w:pPr>
      <w:r>
        <w:rPr>
          <w:rFonts w:hint="eastAsia"/>
          <w:highlight w:val="none"/>
        </w:rPr>
        <w:t>1</w:t>
      </w:r>
      <w:r>
        <w:rPr>
          <w:highlight w:val="none"/>
        </w:rPr>
        <w:t>6.</w:t>
      </w:r>
      <w:r>
        <w:rPr>
          <w:rFonts w:hint="eastAsia"/>
          <w:b/>
          <w:bCs/>
          <w:color w:val="000000"/>
          <w:szCs w:val="21"/>
          <w:highlight w:val="none"/>
        </w:rPr>
        <w:t xml:space="preserve"> 数据备份</w:t>
      </w:r>
      <w:r>
        <w:rPr>
          <w:rFonts w:hint="eastAsia"/>
          <w:highlight w:val="none"/>
        </w:rPr>
        <w:t>：支持快照，可以按照自定义策略自动创建快照。支持回收站功能，支持文件删除后自动保存一段时间，可以从回收站恢复文件，支持文件过期后自动删除。</w:t>
      </w:r>
    </w:p>
    <w:p w14:paraId="25B2764F">
      <w:pPr>
        <w:spacing w:line="360" w:lineRule="auto"/>
        <w:rPr>
          <w:rFonts w:hint="eastAsia"/>
          <w:highlight w:val="none"/>
          <w:lang w:eastAsia="zh-CN"/>
        </w:rPr>
      </w:pPr>
      <w:r>
        <w:rPr>
          <w:rFonts w:hint="eastAsia"/>
          <w:highlight w:val="none"/>
        </w:rPr>
        <w:t>17.</w:t>
      </w:r>
      <w:r>
        <w:rPr>
          <w:rFonts w:hint="eastAsia"/>
          <w:b/>
          <w:bCs/>
          <w:highlight w:val="none"/>
        </w:rPr>
        <w:t>高可用性</w:t>
      </w:r>
      <w:r>
        <w:rPr>
          <w:rFonts w:hint="eastAsia"/>
          <w:highlight w:val="none"/>
        </w:rPr>
        <w:t>：提供配套存储高可用软件，存储高可用软件功能要求</w:t>
      </w:r>
      <w:r>
        <w:rPr>
          <w:rFonts w:hint="eastAsia"/>
          <w:highlight w:val="none"/>
          <w:lang w:eastAsia="zh-CN"/>
        </w:rPr>
        <w:t>：</w:t>
      </w:r>
    </w:p>
    <w:p w14:paraId="08A23F39">
      <w:pPr>
        <w:spacing w:line="360" w:lineRule="auto"/>
        <w:rPr>
          <w:rFonts w:hint="eastAsia"/>
          <w:highlight w:val="none"/>
        </w:rPr>
      </w:pPr>
      <w:r>
        <w:rPr>
          <w:rFonts w:hint="eastAsia"/>
          <w:highlight w:val="none"/>
        </w:rPr>
        <w:t>（1）配置项目需求可用容量的连续数据保护，配置不限客户端数量和多副本数量管理。</w:t>
      </w:r>
    </w:p>
    <w:p w14:paraId="4E5D9407">
      <w:pPr>
        <w:spacing w:line="360" w:lineRule="auto"/>
        <w:rPr>
          <w:rFonts w:hint="eastAsia"/>
          <w:highlight w:val="none"/>
        </w:rPr>
      </w:pPr>
      <w:r>
        <w:rPr>
          <w:rFonts w:hint="eastAsia"/>
          <w:highlight w:val="none"/>
        </w:rPr>
        <w:t>（2）面向各种类型应用服务器（物理机、虚拟机、存储）提供有代理备份，实现整机一体化数据持续保护，操作系统、应用程序、应用配置等数据无需单独备份；agent（windows/linux）安装部署支持无需重启；备份过程无需在客户端挂载硬盘或者其他介质</w:t>
      </w:r>
      <w:r>
        <w:rPr>
          <w:rFonts w:hint="eastAsia"/>
          <w:highlight w:val="none"/>
          <w:lang w:eastAsia="zh-CN"/>
        </w:rPr>
        <w:t>；</w:t>
      </w:r>
    </w:p>
    <w:p w14:paraId="0CFCB915">
      <w:pPr>
        <w:spacing w:line="360" w:lineRule="auto"/>
        <w:rPr>
          <w:rFonts w:hint="eastAsia"/>
          <w:highlight w:val="none"/>
        </w:rPr>
      </w:pPr>
      <w:r>
        <w:rPr>
          <w:rFonts w:hint="eastAsia"/>
          <w:highlight w:val="none"/>
        </w:rPr>
        <w:t>（3）创建策略向导内选择智能推荐或策略模板即可完成快速配置，也可通过高级选项进行自定义；</w:t>
      </w:r>
    </w:p>
    <w:p w14:paraId="23C75C29">
      <w:pPr>
        <w:spacing w:line="360" w:lineRule="auto"/>
        <w:rPr>
          <w:rFonts w:hint="eastAsia" w:eastAsiaTheme="minorEastAsia"/>
          <w:highlight w:val="none"/>
          <w:lang w:eastAsia="zh-CN"/>
        </w:rPr>
      </w:pPr>
      <w:r>
        <w:rPr>
          <w:rFonts w:hint="eastAsia"/>
          <w:highlight w:val="none"/>
        </w:rPr>
        <w:t>（4）</w:t>
      </w:r>
      <w:r>
        <w:rPr>
          <w:rFonts w:hint="eastAsia"/>
          <w:highlight w:val="none"/>
          <w:lang w:val="en-US" w:eastAsia="zh-CN"/>
        </w:rPr>
        <w:t>支持</w:t>
      </w:r>
      <w:r>
        <w:rPr>
          <w:rFonts w:hint="eastAsia"/>
          <w:highlight w:val="none"/>
        </w:rPr>
        <w:t>基于块级持续数据保护，磁盘容量、属性、权限等完全保持一致，最小数据同步间隔可达秒级</w:t>
      </w:r>
      <w:r>
        <w:rPr>
          <w:rFonts w:hint="eastAsia"/>
          <w:highlight w:val="none"/>
          <w:lang w:eastAsia="zh-CN"/>
        </w:rPr>
        <w:t>；</w:t>
      </w:r>
    </w:p>
    <w:p w14:paraId="01673E3B">
      <w:pPr>
        <w:spacing w:line="360" w:lineRule="auto"/>
        <w:rPr>
          <w:rFonts w:hint="eastAsia" w:eastAsiaTheme="minorEastAsia"/>
          <w:highlight w:val="none"/>
          <w:lang w:eastAsia="zh-CN"/>
        </w:rPr>
      </w:pPr>
      <w:r>
        <w:rPr>
          <w:rFonts w:hint="eastAsia"/>
          <w:highlight w:val="none"/>
        </w:rPr>
        <w:t>（5）支持按需选择磁盘备份；支持全备过程暂停：用户可以在客户端进行全量数据同步过程中，暂停作业，重启启动后续传</w:t>
      </w:r>
      <w:r>
        <w:rPr>
          <w:rFonts w:hint="eastAsia"/>
          <w:highlight w:val="none"/>
          <w:lang w:eastAsia="zh-CN"/>
        </w:rPr>
        <w:t>；</w:t>
      </w:r>
    </w:p>
    <w:p w14:paraId="069D3152">
      <w:pPr>
        <w:spacing w:line="360" w:lineRule="auto"/>
        <w:rPr>
          <w:rFonts w:hint="eastAsia"/>
          <w:highlight w:val="none"/>
        </w:rPr>
      </w:pPr>
      <w:r>
        <w:rPr>
          <w:rFonts w:hint="eastAsia"/>
          <w:highlight w:val="none"/>
        </w:rPr>
        <w:t>（6）</w:t>
      </w:r>
      <w:r>
        <w:rPr>
          <w:rFonts w:hint="eastAsia"/>
          <w:highlight w:val="none"/>
          <w:lang w:val="en-US" w:eastAsia="zh-CN"/>
        </w:rPr>
        <w:t>具备</w:t>
      </w:r>
      <w:r>
        <w:rPr>
          <w:rFonts w:hint="eastAsia"/>
          <w:highlight w:val="none"/>
        </w:rPr>
        <w:t>备份策略推演功能，预测未来两周内的备份任务所需的存储空间，</w:t>
      </w:r>
      <w:r>
        <w:rPr>
          <w:rFonts w:hint="eastAsia"/>
          <w:highlight w:val="none"/>
          <w:lang w:val="en-US" w:eastAsia="zh-CN"/>
        </w:rPr>
        <w:t>支持手动</w:t>
      </w:r>
      <w:r>
        <w:rPr>
          <w:rFonts w:hint="eastAsia"/>
          <w:highlight w:val="none"/>
        </w:rPr>
        <w:t>删除备份集以释放宝贵的存储空间</w:t>
      </w:r>
      <w:r>
        <w:rPr>
          <w:rFonts w:hint="eastAsia"/>
          <w:highlight w:val="none"/>
          <w:lang w:val="en-US" w:eastAsia="zh-CN"/>
        </w:rPr>
        <w:t>功能。</w:t>
      </w:r>
    </w:p>
    <w:p w14:paraId="396160FB">
      <w:pPr>
        <w:spacing w:line="360" w:lineRule="auto"/>
        <w:rPr>
          <w:rFonts w:hint="eastAsia"/>
          <w:highlight w:val="none"/>
        </w:rPr>
      </w:pPr>
      <w:r>
        <w:rPr>
          <w:rFonts w:hint="eastAsia"/>
          <w:highlight w:val="none"/>
        </w:rPr>
        <w:t>（7）支持失败后自动发起全备：用户可对备份作业设置在作业报错后是否自动重启备份作业。</w:t>
      </w:r>
    </w:p>
    <w:p w14:paraId="7063FD7F">
      <w:pPr>
        <w:spacing w:line="360" w:lineRule="auto"/>
        <w:rPr>
          <w:rFonts w:hint="eastAsia"/>
          <w:highlight w:val="none"/>
        </w:rPr>
      </w:pPr>
      <w:r>
        <w:rPr>
          <w:rFonts w:hint="eastAsia"/>
          <w:highlight w:val="none"/>
        </w:rPr>
        <w:t>（8）提供备份任务推演功能，展示未来所有备份任务的运行情况，包括备份时间窗、备份开始时间、备份结束时间等内容，通过自动平铺和鼠标拖拽方式合理调整备份任务，使其保持在最优区间内运行；</w:t>
      </w:r>
    </w:p>
    <w:p w14:paraId="7FDFCE80">
      <w:pPr>
        <w:spacing w:line="360" w:lineRule="auto"/>
        <w:rPr>
          <w:rFonts w:hint="eastAsia" w:eastAsiaTheme="minorEastAsia"/>
          <w:highlight w:val="none"/>
          <w:lang w:eastAsia="zh-CN"/>
        </w:rPr>
      </w:pPr>
      <w:r>
        <w:rPr>
          <w:rFonts w:hint="eastAsia"/>
          <w:highlight w:val="none"/>
        </w:rPr>
        <w:t>（9）支持备份客户端自动发现；支持备份客户端断网自动重连并自动续传</w:t>
      </w:r>
      <w:r>
        <w:rPr>
          <w:rFonts w:hint="eastAsia"/>
          <w:highlight w:val="none"/>
          <w:lang w:eastAsia="zh-CN"/>
        </w:rPr>
        <w:t>；</w:t>
      </w:r>
    </w:p>
    <w:p w14:paraId="66E7863D">
      <w:pPr>
        <w:spacing w:line="360" w:lineRule="auto"/>
        <w:rPr>
          <w:rFonts w:hint="eastAsia"/>
          <w:highlight w:val="none"/>
        </w:rPr>
      </w:pPr>
      <w:r>
        <w:rPr>
          <w:rFonts w:hint="eastAsia"/>
          <w:highlight w:val="none"/>
        </w:rPr>
        <w:t>（10）支持灵活自定义用户权限角色，对用户进行功能模块授权管理：备份任务查看、新建、编辑、删除等；原机／异机恢复功能；报表功能查看、导入导出。</w:t>
      </w:r>
    </w:p>
    <w:p w14:paraId="3A4DE443">
      <w:pPr>
        <w:spacing w:line="360" w:lineRule="auto"/>
        <w:rPr>
          <w:rFonts w:hint="eastAsia"/>
          <w:highlight w:val="none"/>
          <w:lang w:eastAsia="zh-CN"/>
        </w:rPr>
      </w:pPr>
      <w:r>
        <w:rPr>
          <w:rFonts w:hint="eastAsia"/>
          <w:highlight w:val="none"/>
        </w:rPr>
        <w:t>（11）客户端兼容 Windows 2008R2/2012/2016/2019；RedHat/CentOS 6/7/8；Suse 11/12/13/14/15；Ubuntu 16/17/18/19/20；Kylin V4/V10；欧拉 2.0 sp8等</w:t>
      </w:r>
      <w:r>
        <w:rPr>
          <w:rFonts w:hint="eastAsia"/>
          <w:highlight w:val="none"/>
          <w:lang w:val="en-US" w:eastAsia="zh-CN"/>
        </w:rPr>
        <w:t>主流</w:t>
      </w:r>
      <w:r>
        <w:rPr>
          <w:rFonts w:hint="eastAsia"/>
          <w:highlight w:val="none"/>
        </w:rPr>
        <w:t xml:space="preserve">操作系统 </w:t>
      </w:r>
      <w:r>
        <w:rPr>
          <w:rFonts w:hint="eastAsia"/>
          <w:highlight w:val="none"/>
          <w:lang w:eastAsia="zh-CN"/>
        </w:rPr>
        <w:t>；</w:t>
      </w:r>
    </w:p>
    <w:p w14:paraId="52C7AEA8">
      <w:pPr>
        <w:spacing w:line="360" w:lineRule="auto"/>
        <w:rPr>
          <w:highlight w:val="none"/>
        </w:rPr>
      </w:pPr>
      <w:r>
        <w:rPr>
          <w:rFonts w:hint="eastAsia"/>
          <w:highlight w:val="none"/>
        </w:rPr>
        <w:t>（12）提供可视化仪表盘，对产品运行情况进行综合展示（包含但不限于）：客户端备份历史作业趋势；CPU、内存、存储使用情况。</w:t>
      </w:r>
    </w:p>
    <w:p w14:paraId="27A9BF89">
      <w:pPr>
        <w:spacing w:line="360" w:lineRule="auto"/>
        <w:rPr>
          <w:highlight w:val="none"/>
        </w:rPr>
      </w:pPr>
      <w:r>
        <w:rPr>
          <w:rFonts w:hint="eastAsia"/>
          <w:highlight w:val="none"/>
        </w:rPr>
        <w:t>18.应用数据保护功能：支持应用数据备份，可将应用数据快速备份到本地和远程，TB级数据备份和恢复窗口仅分钟级。备份数据在备份设备上可以可以直接用于开发、测试、报表应用。数据克隆不占用额外的生产数据空间。</w:t>
      </w:r>
    </w:p>
    <w:p w14:paraId="2FBDBA69">
      <w:pPr>
        <w:spacing w:line="360" w:lineRule="auto"/>
        <w:rPr>
          <w:rFonts w:hint="eastAsia"/>
          <w:highlight w:val="none"/>
        </w:rPr>
      </w:pPr>
      <w:r>
        <w:rPr>
          <w:rFonts w:hint="eastAsia"/>
          <w:highlight w:val="none"/>
          <w:lang w:val="en-US" w:eastAsia="zh-CN"/>
        </w:rPr>
        <w:t>19</w:t>
      </w:r>
      <w:r>
        <w:rPr>
          <w:rFonts w:hint="eastAsia"/>
          <w:highlight w:val="none"/>
        </w:rPr>
        <w:t xml:space="preserve">. </w:t>
      </w:r>
      <w:r>
        <w:rPr>
          <w:rFonts w:hint="eastAsia" w:asciiTheme="minorHAnsi" w:hAnsiTheme="minorHAnsi" w:eastAsiaTheme="minorEastAsia" w:cstheme="minorBidi"/>
          <w:sz w:val="21"/>
          <w:szCs w:val="22"/>
          <w:highlight w:val="none"/>
        </w:rPr>
        <w:t>节点扩容：支持单节点起步部署，单节点下支持纠删码；可在线扩容至完整分布式集群，扩容无需整体数据迁移、业务不中断；新增节点接入网络上电后自动识别纳管，无需复杂初始化配置。</w:t>
      </w:r>
    </w:p>
    <w:p w14:paraId="1274FAA5">
      <w:pPr>
        <w:spacing w:line="360" w:lineRule="auto"/>
        <w:rPr>
          <w:color w:val="000000"/>
          <w:szCs w:val="21"/>
          <w:highlight w:val="none"/>
        </w:rPr>
      </w:pPr>
      <w:r>
        <w:rPr>
          <w:rFonts w:hint="eastAsia"/>
          <w:highlight w:val="none"/>
        </w:rPr>
        <w:t>2</w:t>
      </w:r>
      <w:r>
        <w:rPr>
          <w:rFonts w:hint="eastAsia"/>
          <w:highlight w:val="none"/>
          <w:lang w:val="en-US" w:eastAsia="zh-CN"/>
        </w:rPr>
        <w:t>0</w:t>
      </w:r>
      <w:r>
        <w:rPr>
          <w:rFonts w:hint="eastAsia"/>
          <w:highlight w:val="none"/>
        </w:rPr>
        <w:t>.</w:t>
      </w:r>
      <w:r>
        <w:rPr>
          <w:rFonts w:hint="eastAsia"/>
          <w:b/>
          <w:bCs/>
          <w:color w:val="000000"/>
          <w:szCs w:val="21"/>
          <w:highlight w:val="none"/>
        </w:rPr>
        <w:t xml:space="preserve"> </w:t>
      </w:r>
      <w:r>
        <w:rPr>
          <w:rFonts w:hint="eastAsia"/>
          <w:color w:val="000000"/>
          <w:szCs w:val="21"/>
          <w:highlight w:val="none"/>
        </w:rPr>
        <w:t>资源管理:</w:t>
      </w:r>
      <w:r>
        <w:rPr>
          <w:rFonts w:hint="eastAsia"/>
          <w:highlight w:val="none"/>
        </w:rPr>
        <w:t xml:space="preserve"> </w:t>
      </w:r>
      <w:r>
        <w:rPr>
          <w:rFonts w:hint="eastAsia"/>
          <w:color w:val="000000"/>
          <w:szCs w:val="21"/>
          <w:highlight w:val="none"/>
        </w:rPr>
        <w:t>支持图形化管理界面，且图形化管理界面应为中文操作界面，能够监控存储使用状态、异常状态、性能状态。实时监控各种资源（CPU、内存、硬盘、网络）的各种性能指标（IOPS、带宽、平均时延等），并可调阅历史性能数据。</w:t>
      </w:r>
    </w:p>
    <w:p w14:paraId="0C5CC4DD">
      <w:pPr>
        <w:spacing w:line="360" w:lineRule="auto"/>
        <w:rPr>
          <w:rFonts w:hint="eastAsia"/>
          <w:b/>
          <w:bCs/>
          <w:lang w:eastAsia="zh-CN"/>
        </w:rPr>
      </w:pPr>
      <w:r>
        <w:rPr>
          <w:rFonts w:hint="eastAsia"/>
          <w:b/>
          <w:bCs/>
          <w:lang w:val="en-US" w:eastAsia="zh-CN"/>
        </w:rPr>
        <w:t>二、</w:t>
      </w:r>
      <w:r>
        <w:rPr>
          <w:rFonts w:hint="eastAsia" w:asciiTheme="minorHAnsi" w:hAnsiTheme="minorHAnsi" w:eastAsiaTheme="minorEastAsia" w:cstheme="minorBidi"/>
          <w:b/>
          <w:bCs/>
        </w:rPr>
        <w:t>资源</w:t>
      </w:r>
      <w:r>
        <w:rPr>
          <w:rFonts w:hint="eastAsia"/>
          <w:b/>
          <w:bCs/>
        </w:rPr>
        <w:t>扩容</w:t>
      </w:r>
      <w:r>
        <w:rPr>
          <w:rFonts w:hint="eastAsia"/>
          <w:b/>
          <w:bCs/>
          <w:lang w:eastAsia="zh-CN"/>
        </w:rPr>
        <w:t>服务</w:t>
      </w:r>
    </w:p>
    <w:p w14:paraId="1FC1F902">
      <w:pPr>
        <w:spacing w:line="360" w:lineRule="auto"/>
        <w:rPr>
          <w:rFonts w:hint="eastAsia" w:ascii="宋体" w:hAnsi="宋体" w:cs="宋体" w:eastAsiaTheme="minorEastAsia"/>
          <w:color w:val="000000"/>
          <w:highlight w:val="none"/>
          <w:lang w:eastAsia="zh-CN"/>
        </w:rPr>
      </w:pPr>
      <w:r>
        <w:rPr>
          <w:rFonts w:hint="eastAsia" w:ascii="宋体" w:hAnsi="宋体" w:cs="宋体"/>
          <w:b w:val="0"/>
          <w:bCs w:val="0"/>
          <w:color w:val="000000"/>
          <w:highlight w:val="none"/>
          <w:lang w:val="en-US" w:eastAsia="zh-CN"/>
        </w:rPr>
        <w:t>1、</w:t>
      </w:r>
      <w:r>
        <w:rPr>
          <w:rFonts w:hint="eastAsia" w:ascii="宋体" w:hAnsi="宋体" w:cs="宋体" w:eastAsiaTheme="minorEastAsia"/>
          <w:color w:val="000000"/>
          <w:highlight w:val="none"/>
        </w:rPr>
        <w:t>本次所扩容</w:t>
      </w:r>
      <w:r>
        <w:rPr>
          <w:rFonts w:hint="eastAsia" w:ascii="宋体" w:hAnsi="宋体" w:cs="宋体" w:eastAsiaTheme="minorEastAsia"/>
          <w:color w:val="000000"/>
          <w:highlight w:val="none"/>
          <w:lang w:val="en-US" w:eastAsia="zh-CN"/>
        </w:rPr>
        <w:t>内存规格：32根，单根容量</w:t>
      </w:r>
      <w:r>
        <w:rPr>
          <w:rFonts w:hint="eastAsia" w:ascii="宋体" w:hAnsi="宋体" w:cs="宋体" w:eastAsiaTheme="minorEastAsia"/>
          <w:color w:val="000000"/>
          <w:sz w:val="21"/>
          <w:szCs w:val="22"/>
          <w:highlight w:val="none"/>
        </w:rPr>
        <w:t>≥</w:t>
      </w:r>
      <w:r>
        <w:rPr>
          <w:rFonts w:hint="eastAsia" w:ascii="宋体" w:hAnsi="宋体" w:cs="宋体" w:eastAsiaTheme="minorEastAsia"/>
          <w:color w:val="000000"/>
          <w:highlight w:val="none"/>
          <w:lang w:val="en-US" w:eastAsia="zh-CN"/>
        </w:rPr>
        <w:t>64G ，DDR4-3200</w:t>
      </w:r>
      <w:r>
        <w:rPr>
          <w:rFonts w:hint="eastAsia" w:ascii="宋体" w:hAnsi="宋体" w:cs="宋体" w:eastAsiaTheme="minorEastAsia"/>
          <w:color w:val="000000"/>
          <w:highlight w:val="none"/>
        </w:rPr>
        <w:t>内存</w:t>
      </w:r>
      <w:r>
        <w:rPr>
          <w:rFonts w:hint="eastAsia" w:ascii="宋体" w:hAnsi="宋体" w:cs="宋体" w:eastAsiaTheme="minorEastAsia"/>
          <w:color w:val="000000"/>
          <w:highlight w:val="none"/>
          <w:lang w:eastAsia="zh-CN"/>
        </w:rPr>
        <w:t>，</w:t>
      </w:r>
      <w:r>
        <w:rPr>
          <w:rFonts w:hint="eastAsia" w:ascii="宋体" w:hAnsi="宋体" w:cs="宋体"/>
          <w:color w:val="000000"/>
          <w:highlight w:val="none"/>
          <w:lang w:val="en-US" w:eastAsia="zh-CN"/>
        </w:rPr>
        <w:t>总扩容</w:t>
      </w:r>
      <w:r>
        <w:rPr>
          <w:rFonts w:hint="eastAsia" w:ascii="宋体" w:hAnsi="宋体" w:cs="宋体" w:eastAsiaTheme="minorEastAsia"/>
          <w:color w:val="000000"/>
          <w:highlight w:val="none"/>
          <w:lang w:val="en-US" w:eastAsia="zh-CN"/>
        </w:rPr>
        <w:t>容量</w:t>
      </w:r>
      <w:r>
        <w:rPr>
          <w:rFonts w:hint="eastAsia" w:ascii="宋体" w:hAnsi="宋体" w:cs="宋体" w:eastAsiaTheme="minorEastAsia"/>
          <w:color w:val="000000"/>
          <w:highlight w:val="none"/>
        </w:rPr>
        <w:t>≥</w:t>
      </w:r>
      <w:r>
        <w:rPr>
          <w:rFonts w:hint="eastAsia" w:ascii="宋体" w:hAnsi="宋体" w:cs="宋体" w:eastAsiaTheme="minorEastAsia"/>
          <w:color w:val="000000"/>
          <w:highlight w:val="none"/>
          <w:lang w:val="en-US" w:eastAsia="zh-CN"/>
        </w:rPr>
        <w:t>2048</w:t>
      </w:r>
      <w:r>
        <w:rPr>
          <w:rFonts w:hint="eastAsia" w:ascii="宋体" w:hAnsi="宋体" w:cs="宋体" w:eastAsiaTheme="minorEastAsia"/>
          <w:color w:val="000000"/>
          <w:highlight w:val="none"/>
        </w:rPr>
        <w:t>GB，增加的内存条必须和现有设备兼容，若因扩容时出现内存槽位不够的情况需用高容量产品替换低容量内存，以满足扩容要求，替换产品所产生的额外费用由供货商承担；否则我院有权拒绝验收，并保留追究责任的权利</w:t>
      </w:r>
      <w:r>
        <w:rPr>
          <w:rFonts w:hint="eastAsia" w:ascii="宋体" w:hAnsi="宋体" w:cs="宋体" w:eastAsiaTheme="minorEastAsia"/>
          <w:color w:val="000000"/>
          <w:highlight w:val="none"/>
          <w:lang w:eastAsia="zh-CN"/>
        </w:rPr>
        <w:t>。</w:t>
      </w:r>
    </w:p>
    <w:p w14:paraId="3D433038">
      <w:pPr>
        <w:spacing w:line="360" w:lineRule="auto"/>
        <w:rPr>
          <w:rFonts w:hint="eastAsia" w:ascii="宋体" w:hAnsi="宋体" w:cs="宋体" w:eastAsiaTheme="minorEastAsia"/>
          <w:color w:val="000000"/>
          <w:highlight w:val="none"/>
          <w:lang w:eastAsia="zh-CN"/>
        </w:rPr>
      </w:pPr>
      <w:r>
        <w:rPr>
          <w:rFonts w:hint="eastAsia" w:ascii="宋体" w:hAnsi="宋体" w:cs="宋体" w:eastAsiaTheme="minorEastAsia"/>
          <w:color w:val="000000"/>
          <w:highlight w:val="none"/>
          <w:lang w:val="en-US" w:eastAsia="zh-CN"/>
        </w:rPr>
        <w:t>2、所投产品必须100%兼容原有产品，</w:t>
      </w:r>
      <w:r>
        <w:rPr>
          <w:rFonts w:hint="eastAsia" w:ascii="宋体" w:hAnsi="宋体" w:cs="宋体" w:eastAsiaTheme="minorEastAsia"/>
          <w:color w:val="000000"/>
          <w:highlight w:val="none"/>
        </w:rPr>
        <w:t>提供本项目</w:t>
      </w:r>
      <w:r>
        <w:rPr>
          <w:rFonts w:hint="eastAsia" w:ascii="宋体" w:hAnsi="宋体" w:cs="宋体" w:eastAsiaTheme="minorEastAsia"/>
          <w:color w:val="000000"/>
          <w:highlight w:val="none"/>
          <w:lang w:val="en-US" w:eastAsia="zh-CN"/>
        </w:rPr>
        <w:t>内存</w:t>
      </w:r>
      <w:r>
        <w:rPr>
          <w:rFonts w:hint="eastAsia" w:ascii="宋体" w:hAnsi="宋体" w:cs="宋体" w:eastAsiaTheme="minorEastAsia"/>
          <w:color w:val="000000"/>
          <w:highlight w:val="none"/>
        </w:rPr>
        <w:t>资源池扩容</w:t>
      </w:r>
      <w:r>
        <w:rPr>
          <w:rFonts w:hint="eastAsia" w:ascii="宋体" w:hAnsi="宋体" w:cs="宋体" w:eastAsiaTheme="minorEastAsia"/>
          <w:color w:val="000000"/>
          <w:highlight w:val="none"/>
          <w:lang w:eastAsia="zh-CN"/>
        </w:rPr>
        <w:t>，</w:t>
      </w:r>
      <w:r>
        <w:rPr>
          <w:rFonts w:hint="eastAsia" w:ascii="宋体" w:hAnsi="宋体" w:cs="宋体" w:eastAsiaTheme="minorEastAsia"/>
          <w:color w:val="000000"/>
          <w:highlight w:val="none"/>
          <w:lang w:val="en-US" w:eastAsia="zh-CN"/>
        </w:rPr>
        <w:t>供应商</w:t>
      </w:r>
      <w:r>
        <w:rPr>
          <w:rFonts w:hint="eastAsia" w:ascii="宋体" w:hAnsi="宋体" w:cs="宋体" w:eastAsiaTheme="minorEastAsia"/>
          <w:color w:val="000000"/>
          <w:highlight w:val="none"/>
        </w:rPr>
        <w:t>一旦</w:t>
      </w:r>
      <w:r>
        <w:rPr>
          <w:rFonts w:hint="eastAsia" w:ascii="宋体" w:hAnsi="宋体" w:cs="宋体" w:eastAsiaTheme="minorEastAsia"/>
          <w:color w:val="000000"/>
          <w:highlight w:val="none"/>
          <w:lang w:eastAsia="zh-CN"/>
        </w:rPr>
        <w:t>成交</w:t>
      </w:r>
      <w:r>
        <w:rPr>
          <w:rFonts w:hint="eastAsia" w:ascii="宋体" w:hAnsi="宋体" w:cs="宋体" w:eastAsiaTheme="minorEastAsia"/>
          <w:color w:val="000000"/>
          <w:highlight w:val="none"/>
        </w:rPr>
        <w:t>，要求于供货时提供在线扩容实施详细的技术方案。</w:t>
      </w:r>
    </w:p>
    <w:p w14:paraId="5A68FF44">
      <w:pPr>
        <w:spacing w:line="360" w:lineRule="auto"/>
        <w:rPr>
          <w:rFonts w:hint="eastAsia" w:ascii="宋体" w:hAnsi="宋体" w:cs="宋体" w:eastAsiaTheme="minorEastAsia"/>
          <w:color w:val="000000"/>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强子" w:date="2026-10-21T15:29:56Z" w:initials="">
    <w:p w14:paraId="01D050F7">
      <w:pPr>
        <w:pStyle w:val="2"/>
      </w:pPr>
      <w:r>
        <w:annotationRef/>
      </w:r>
    </w:p>
  </w:comment>
  <w:comment w:id="1" w:author="强子" w:date="2026-10-21T15:29:45Z" w:initials="">
    <w:p w14:paraId="75988FF1">
      <w:pPr>
        <w:pStyle w:val="2"/>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1D050F7" w15:done="0"/>
  <w15:commentEx w15:paraId="75988FF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226A8C"/>
    <w:multiLevelType w:val="singleLevel"/>
    <w:tmpl w:val="15226A8C"/>
    <w:lvl w:ilvl="0" w:tentative="0">
      <w:start w:val="11"/>
      <w:numFmt w:val="decimal"/>
      <w:lvlText w:val="%1."/>
      <w:lvlJc w:val="left"/>
      <w:pPr>
        <w:tabs>
          <w:tab w:val="left" w:pos="312"/>
        </w:tabs>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强子">
    <w15:presenceInfo w15:providerId="WPS Office" w15:userId="34932459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1DE"/>
    <w:rsid w:val="000D57B2"/>
    <w:rsid w:val="001404D2"/>
    <w:rsid w:val="00152991"/>
    <w:rsid w:val="001916C7"/>
    <w:rsid w:val="001B2047"/>
    <w:rsid w:val="001D0CC5"/>
    <w:rsid w:val="00245BC8"/>
    <w:rsid w:val="002F1F07"/>
    <w:rsid w:val="00344113"/>
    <w:rsid w:val="00571F51"/>
    <w:rsid w:val="00587338"/>
    <w:rsid w:val="006F01E4"/>
    <w:rsid w:val="006F2D01"/>
    <w:rsid w:val="007B3A67"/>
    <w:rsid w:val="007F7947"/>
    <w:rsid w:val="00817756"/>
    <w:rsid w:val="00842A9B"/>
    <w:rsid w:val="0095022D"/>
    <w:rsid w:val="00A21C1E"/>
    <w:rsid w:val="00B22A2A"/>
    <w:rsid w:val="00B247A6"/>
    <w:rsid w:val="00B761DE"/>
    <w:rsid w:val="00BA0A02"/>
    <w:rsid w:val="00BF5262"/>
    <w:rsid w:val="00C30898"/>
    <w:rsid w:val="00C5059E"/>
    <w:rsid w:val="00E3050A"/>
    <w:rsid w:val="00E34D92"/>
    <w:rsid w:val="00E92B28"/>
    <w:rsid w:val="00F02B3A"/>
    <w:rsid w:val="00F3760B"/>
    <w:rsid w:val="00F4402C"/>
    <w:rsid w:val="00F52E75"/>
    <w:rsid w:val="00FF4F32"/>
    <w:rsid w:val="11407D54"/>
    <w:rsid w:val="190168A3"/>
    <w:rsid w:val="19186917"/>
    <w:rsid w:val="1FED72F9"/>
    <w:rsid w:val="273F0631"/>
    <w:rsid w:val="2AFC2847"/>
    <w:rsid w:val="2B006133"/>
    <w:rsid w:val="2FC67586"/>
    <w:rsid w:val="30C54802"/>
    <w:rsid w:val="31061B44"/>
    <w:rsid w:val="3C2B6DE3"/>
    <w:rsid w:val="41AF64D2"/>
    <w:rsid w:val="44C675B7"/>
    <w:rsid w:val="467F718C"/>
    <w:rsid w:val="4AC71B3A"/>
    <w:rsid w:val="4D8E7176"/>
    <w:rsid w:val="5BF24306"/>
    <w:rsid w:val="66641E2E"/>
    <w:rsid w:val="6D203600"/>
    <w:rsid w:val="7B3328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paragraph" w:styleId="9">
    <w:name w:val="List Paragraph"/>
    <w:basedOn w:val="1"/>
    <w:unhideWhenUsed/>
    <w:qFormat/>
    <w:uiPriority w:val="99"/>
    <w:pPr>
      <w:ind w:left="720" w:leftChars="400"/>
    </w:p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1006</Words>
  <Characters>1137</Characters>
  <Lines>22</Lines>
  <Paragraphs>6</Paragraphs>
  <TotalTime>16</TotalTime>
  <ScaleCrop>false</ScaleCrop>
  <LinksUpToDate>false</LinksUpToDate>
  <CharactersWithSpaces>1157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2025-09-26T06:11:00Z</dcterms:created>
  <dc:creator>Ziheng ZH1 Shao</dc:creator>
  <cp:lastModifiedBy>强子</cp:lastModifiedBy>
  <dcterms:modified xsi:type="dcterms:W3CDTF">2026-10-21T11:11:58Z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eyJoZGlkIjoiZjIzNTFlODQ4MWVkNjQ2MDk5ODc5MDZjMjBlZjlkMGMiLCJ1c2VySWQiOiI1MTY4ODU5MjIifQ==</vt:lpwstr>
  </property>
  <property fmtid="{D5CDD505-2E9C-101B-9397-08002B2CF9AE}" pid="3" name="KSOProductBuildVer">
    <vt:lpwstr>2052-12.1.0.29161</vt:lpwstr>
  </property>
  <property fmtid="{D5CDD505-2E9C-101B-9397-08002B2CF9AE}" pid="4" name="ICV">
    <vt:lpwstr>5026DF29EE3F47239F643615F2CFDE31_13</vt:lpwstr>
  </property>
</Properties>
</file>