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E5E8F">
      <w:pPr>
        <w:jc w:val="center"/>
        <w:rPr>
          <w:rFonts w:hint="eastAsia"/>
          <w:b/>
          <w:bCs/>
          <w:sz w:val="36"/>
          <w:szCs w:val="36"/>
          <w:lang w:val="en-US" w:eastAsia="zh-CN"/>
        </w:rPr>
      </w:pPr>
      <w:bookmarkStart w:id="0" w:name="_GoBack"/>
      <w:r>
        <w:rPr>
          <w:rFonts w:hint="eastAsia"/>
          <w:b/>
          <w:bCs/>
          <w:sz w:val="36"/>
          <w:szCs w:val="36"/>
          <w:lang w:val="en-US" w:eastAsia="zh-CN"/>
        </w:rPr>
        <w:t>电子输尿管镜</w:t>
      </w:r>
      <w:r>
        <w:rPr>
          <w:rFonts w:hint="eastAsia"/>
          <w:b/>
          <w:bCs/>
          <w:sz w:val="36"/>
          <w:szCs w:val="36"/>
        </w:rPr>
        <w:t>采购技术参数需求</w:t>
      </w:r>
      <w:r>
        <w:rPr>
          <w:rFonts w:hint="eastAsia"/>
          <w:b/>
          <w:bCs/>
          <w:sz w:val="36"/>
          <w:szCs w:val="36"/>
          <w:lang w:val="en-US" w:eastAsia="zh-CN"/>
        </w:rPr>
        <w:t>及商务要求</w:t>
      </w:r>
    </w:p>
    <w:bookmarkEnd w:id="0"/>
    <w:p w14:paraId="7267D2E2">
      <w:pPr>
        <w:jc w:val="both"/>
        <w:rPr>
          <w:rFonts w:hint="eastAsia" w:eastAsiaTheme="minorEastAsia"/>
          <w:b/>
          <w:bCs/>
          <w:sz w:val="24"/>
          <w:szCs w:val="24"/>
          <w:lang w:val="en-US" w:eastAsia="zh-CN"/>
        </w:rPr>
      </w:pPr>
      <w:r>
        <w:rPr>
          <w:rFonts w:hint="eastAsia"/>
          <w:b/>
          <w:bCs/>
          <w:sz w:val="24"/>
          <w:szCs w:val="24"/>
        </w:rPr>
        <w:t>技术参数</w:t>
      </w:r>
      <w:r>
        <w:rPr>
          <w:rFonts w:hint="eastAsia"/>
          <w:b/>
          <w:bCs/>
          <w:sz w:val="24"/>
          <w:szCs w:val="24"/>
          <w:lang w:eastAsia="zh-CN"/>
        </w:rPr>
        <w:t>：</w:t>
      </w:r>
    </w:p>
    <w:p w14:paraId="0F3FB184">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1.镜管插入端≤8/9.8Fr；</w:t>
      </w:r>
    </w:p>
    <w:p w14:paraId="20C28588">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2.有效工作长度410-430mm；</w:t>
      </w:r>
    </w:p>
    <w:p w14:paraId="7BF43A70">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3.有效使用工作通道≥5Fr，水量更大，视野更清晰；</w:t>
      </w:r>
    </w:p>
    <w:p w14:paraId="52E1D434">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4.视场角：90°- 100°；</w:t>
      </w:r>
    </w:p>
    <w:p w14:paraId="3BEB6D9F">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5.视向角：≥12°；</w:t>
      </w:r>
    </w:p>
    <w:p w14:paraId="04D052C8">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6.镜头前端照明由主机插座上LED光源，通过玻璃光纤导入镜头；</w:t>
      </w:r>
    </w:p>
    <w:p w14:paraId="31347488">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7.景深2-50mm；</w:t>
      </w:r>
    </w:p>
    <w:p w14:paraId="11FFD368">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8.一体化视频插头,与电子软镜主机通用，无需拆卸可整体消毒灭菌；</w:t>
      </w:r>
    </w:p>
    <w:p w14:paraId="08DA857B">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9.图像分辨率≥16万像素；</w:t>
      </w:r>
    </w:p>
    <w:p w14:paraId="3FE05F25">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10.可与同一品牌电子硬镜、电子软镜使用同一主机；</w:t>
      </w:r>
    </w:p>
    <w:p w14:paraId="434CEA6A">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11.一体化镜桥，左右进出水通道开关设计，操控更方便；</w:t>
      </w:r>
    </w:p>
    <w:p w14:paraId="72810699">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12.物镜采用蓝宝石镜片密封，适用环氧乙烷、低温等离子消毒灭菌；</w:t>
      </w:r>
    </w:p>
    <w:p w14:paraId="649B276F">
      <w:pPr>
        <w:pStyle w:val="2"/>
        <w:keepNext w:val="0"/>
        <w:keepLines w:val="0"/>
        <w:widowControl/>
        <w:suppressLineNumbers w:val="0"/>
        <w:spacing w:before="60" w:beforeAutospacing="0" w:after="60" w:afterAutospacing="0" w:line="288" w:lineRule="atLeast"/>
        <w:ind w:left="0" w:right="0"/>
      </w:pPr>
      <w:r>
        <w:rPr>
          <w:rFonts w:hint="eastAsia" w:ascii="宋体" w:hAnsi="宋体" w:eastAsia="宋体" w:cs="宋体"/>
          <w:sz w:val="21"/>
          <w:szCs w:val="21"/>
        </w:rPr>
        <w:t>13.可兼容本院图像系统使用。</w:t>
      </w:r>
    </w:p>
    <w:p w14:paraId="712D9788">
      <w:pPr>
        <w:pStyle w:val="2"/>
        <w:keepNext w:val="0"/>
        <w:keepLines w:val="0"/>
        <w:widowControl/>
        <w:suppressLineNumbers w:val="0"/>
        <w:spacing w:before="60" w:beforeAutospacing="0" w:after="60" w:afterAutospacing="0"/>
        <w:ind w:left="0" w:right="0"/>
      </w:pPr>
    </w:p>
    <w:p w14:paraId="3274B873">
      <w:pPr>
        <w:pStyle w:val="2"/>
        <w:keepNext w:val="0"/>
        <w:keepLines w:val="0"/>
        <w:widowControl/>
        <w:suppressLineNumbers w:val="0"/>
        <w:spacing w:before="60" w:beforeAutospacing="0" w:after="60" w:afterAutospacing="0"/>
        <w:ind w:left="0" w:right="0"/>
      </w:pPr>
    </w:p>
    <w:p w14:paraId="1096D33E">
      <w:pPr>
        <w:pStyle w:val="2"/>
        <w:keepNext w:val="0"/>
        <w:keepLines w:val="0"/>
        <w:widowControl/>
        <w:suppressLineNumbers w:val="0"/>
        <w:spacing w:before="60" w:beforeAutospacing="0" w:after="60" w:afterAutospacing="0"/>
        <w:ind w:left="0" w:right="0"/>
      </w:pPr>
    </w:p>
    <w:p w14:paraId="73D70040">
      <w:pPr>
        <w:rPr>
          <w:rFonts w:hint="eastAsia"/>
        </w:rPr>
      </w:pPr>
    </w:p>
    <w:p w14:paraId="6842ECD4">
      <w:pPr>
        <w:jc w:val="both"/>
        <w:rPr>
          <w:rFonts w:hint="eastAsia"/>
          <w:b/>
          <w:bCs/>
          <w:sz w:val="24"/>
          <w:szCs w:val="24"/>
          <w:lang w:val="en-US" w:eastAsia="zh-CN"/>
        </w:rPr>
      </w:pPr>
      <w:r>
        <w:rPr>
          <w:rFonts w:hint="eastAsia"/>
          <w:b/>
          <w:bCs/>
          <w:sz w:val="24"/>
          <w:szCs w:val="24"/>
          <w:lang w:val="en-US" w:eastAsia="zh-CN"/>
        </w:rPr>
        <w:t>商务要求：</w:t>
      </w:r>
    </w:p>
    <w:p w14:paraId="1A9E0513">
      <w:pPr>
        <w:rPr>
          <w:rFonts w:hint="default"/>
          <w:lang w:val="en-US" w:eastAsia="zh-CN"/>
        </w:rPr>
      </w:pPr>
      <w:r>
        <w:rPr>
          <w:rFonts w:hint="default"/>
          <w:lang w:val="en-US" w:eastAsia="zh-CN"/>
        </w:rPr>
        <w:t>1、本项目预算金额为</w:t>
      </w:r>
      <w:r>
        <w:rPr>
          <w:rFonts w:hint="eastAsia"/>
          <w:lang w:val="en-US" w:eastAsia="zh-CN"/>
        </w:rPr>
        <w:t>15</w:t>
      </w:r>
      <w:r>
        <w:rPr>
          <w:rFonts w:hint="default"/>
          <w:lang w:val="en-US" w:eastAsia="zh-CN"/>
        </w:rPr>
        <w:t>万元，最高限价</w:t>
      </w:r>
      <w:r>
        <w:rPr>
          <w:rFonts w:hint="eastAsia"/>
          <w:lang w:val="en-US" w:eastAsia="zh-CN"/>
        </w:rPr>
        <w:t>15</w:t>
      </w:r>
      <w:r>
        <w:rPr>
          <w:rFonts w:hint="default"/>
          <w:lang w:val="en-US" w:eastAsia="zh-CN"/>
        </w:rPr>
        <w:t>万元，报价不得超出最高限价，否则报价无效。</w:t>
      </w:r>
    </w:p>
    <w:p w14:paraId="6EDEF240">
      <w:pPr>
        <w:rPr>
          <w:rFonts w:hint="default"/>
          <w:lang w:val="en-US" w:eastAsia="zh-CN"/>
        </w:rPr>
      </w:pPr>
      <w:r>
        <w:rPr>
          <w:rFonts w:hint="default"/>
          <w:lang w:val="en-US" w:eastAsia="zh-CN"/>
        </w:rPr>
        <w:t>2、所有参数需进行对应响应，提供需求参数偏离表，缺漏、不提供则认定为响应无效。</w:t>
      </w:r>
    </w:p>
    <w:p w14:paraId="7C93F64F">
      <w:pPr>
        <w:rPr>
          <w:rFonts w:hint="default"/>
          <w:lang w:val="en-US" w:eastAsia="zh-CN"/>
        </w:rPr>
      </w:pPr>
      <w:r>
        <w:rPr>
          <w:rFonts w:hint="eastAsia"/>
          <w:lang w:val="en-US" w:eastAsia="zh-CN"/>
        </w:rPr>
        <w:t>3</w:t>
      </w:r>
      <w:r>
        <w:rPr>
          <w:rFonts w:hint="default"/>
          <w:lang w:val="en-US" w:eastAsia="zh-CN"/>
        </w:rPr>
        <w:t>、响应产品须列明品牌、生产厂家、型号。</w:t>
      </w:r>
    </w:p>
    <w:p w14:paraId="400B2E53">
      <w:pPr>
        <w:rPr>
          <w:rFonts w:hint="default"/>
          <w:lang w:val="en-US" w:eastAsia="zh-CN"/>
        </w:rPr>
      </w:pPr>
      <w:r>
        <w:rPr>
          <w:rFonts w:hint="eastAsia"/>
          <w:lang w:val="en-US" w:eastAsia="zh-CN"/>
        </w:rPr>
        <w:t>4</w:t>
      </w:r>
      <w:r>
        <w:rPr>
          <w:rFonts w:hint="default"/>
          <w:lang w:val="en-US" w:eastAsia="zh-CN"/>
        </w:rPr>
        <w:t>、成交供应商需缴纳履约保证金（按成交金额的按5%缴纳，中小微企业按成交金额的按2%缴纳（需提供中小微企业证明）），在承诺的质保期期满后无息退还给成交供应商。</w:t>
      </w:r>
    </w:p>
    <w:p w14:paraId="106C70F6">
      <w:pPr>
        <w:rPr>
          <w:rFonts w:hint="default"/>
          <w:lang w:val="en-US" w:eastAsia="zh-CN"/>
        </w:rPr>
      </w:pPr>
      <w:r>
        <w:rPr>
          <w:rFonts w:hint="eastAsia"/>
          <w:lang w:val="en-US" w:eastAsia="zh-CN"/>
        </w:rPr>
        <w:t>5</w:t>
      </w:r>
      <w:r>
        <w:rPr>
          <w:rFonts w:hint="default"/>
          <w:lang w:val="en-US" w:eastAsia="zh-CN"/>
        </w:rPr>
        <w:t>、报价包括各种税金、运输费、搬运费（运至院方指定的楼层和科室）、材料费、人工费、调试安装费等一切费用。</w:t>
      </w:r>
    </w:p>
    <w:p w14:paraId="107B074D">
      <w:pPr>
        <w:rPr>
          <w:rFonts w:hint="default"/>
          <w:lang w:val="en-US" w:eastAsia="zh-CN"/>
        </w:rPr>
      </w:pPr>
      <w:r>
        <w:rPr>
          <w:rFonts w:hint="eastAsia"/>
          <w:lang w:val="en-US" w:eastAsia="zh-CN"/>
        </w:rPr>
        <w:t>6</w:t>
      </w:r>
      <w:r>
        <w:rPr>
          <w:rFonts w:hint="default"/>
          <w:lang w:val="en-US" w:eastAsia="zh-CN"/>
        </w:rPr>
        <w:t>、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w:t>
      </w:r>
      <w:r>
        <w:rPr>
          <w:rFonts w:hint="eastAsia"/>
          <w:lang w:val="en-US" w:eastAsia="zh-CN"/>
        </w:rPr>
        <w:t>采购人</w:t>
      </w:r>
      <w:r>
        <w:rPr>
          <w:rFonts w:hint="default"/>
          <w:lang w:val="en-US" w:eastAsia="zh-CN"/>
        </w:rPr>
        <w:t>有权拒收并有权要求供应商更换，产生的费用由成交人承担。</w:t>
      </w:r>
    </w:p>
    <w:p w14:paraId="7BB3A959">
      <w:pPr>
        <w:rPr>
          <w:rFonts w:hint="default"/>
          <w:lang w:val="en-US" w:eastAsia="zh-CN"/>
        </w:rPr>
      </w:pPr>
      <w:r>
        <w:rPr>
          <w:rFonts w:hint="eastAsia"/>
          <w:lang w:val="en-US" w:eastAsia="zh-CN"/>
        </w:rPr>
        <w:t>7</w:t>
      </w:r>
      <w:r>
        <w:rPr>
          <w:rFonts w:hint="default"/>
          <w:lang w:val="en-US" w:eastAsia="zh-CN"/>
        </w:rPr>
        <w:t>、按国家有关产品“三包”规定执行“三包”，除特别说明外，质保期不得少于</w:t>
      </w:r>
      <w:r>
        <w:rPr>
          <w:rFonts w:hint="eastAsia"/>
          <w:lang w:val="en-US" w:eastAsia="zh-CN"/>
        </w:rPr>
        <w:t>3</w:t>
      </w:r>
      <w:r>
        <w:rPr>
          <w:rFonts w:hint="default"/>
          <w:lang w:val="en-US" w:eastAsia="zh-CN"/>
        </w:rPr>
        <w:t xml:space="preserve">年，自产品验收合格并能正常使用之日算起。如响应文件中提供产品生产厂家对质保期的承诺，与供应商承诺不一致的，以生产厂家承诺为准。 </w:t>
      </w:r>
    </w:p>
    <w:p w14:paraId="239CAC38">
      <w:pPr>
        <w:rPr>
          <w:rFonts w:hint="default"/>
          <w:lang w:val="en-US" w:eastAsia="zh-CN"/>
        </w:rPr>
      </w:pPr>
      <w:r>
        <w:rPr>
          <w:rFonts w:hint="default"/>
          <w:lang w:val="en-US" w:eastAsia="zh-CN"/>
        </w:rPr>
        <w:t>8、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r>
        <w:rPr>
          <w:rFonts w:hint="default"/>
          <w:lang w:val="en-US" w:eastAsia="zh-CN"/>
        </w:rPr>
        <w:br w:type="textWrapping"/>
      </w:r>
      <w:r>
        <w:rPr>
          <w:rFonts w:hint="eastAsia"/>
          <w:lang w:val="en-US" w:eastAsia="zh-CN"/>
        </w:rPr>
        <w:t>9、成交供应商需提供设备配套软件的终身升级服务且所涉及的接口费用一律由成交供应商承担。如设备需要对接医院HIS、PACS、LIS，或其他采购人认为需要对接的相关信息化系统，成交供应商须配合采购人完成相关对接工作，且所涉及的接口费用一律由成交供应商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66479"/>
    <w:rsid w:val="0FDC5544"/>
    <w:rsid w:val="78D51BC9"/>
    <w:rsid w:val="7EDA2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1291</Words>
  <Characters>1373</Characters>
  <Lines>0</Lines>
  <Paragraphs>0</Paragraphs>
  <TotalTime>7</TotalTime>
  <ScaleCrop>false</ScaleCrop>
  <LinksUpToDate>false</LinksUpToDate>
  <CharactersWithSpaces>1374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2026-07-27T04:04:00Z</dcterms:created>
  <dc:creator>Administrator</dc:creator>
  <cp:lastModifiedBy>mild,m</cp:lastModifiedBy>
  <dcterms:modified xsi:type="dcterms:W3CDTF">2026-10-14T07:42:35Z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eyJoZGlkIjoiNmM0ZWY5N2MyZWM5YTE0M2U1YjZmOTgyNTEzMTQ0NzEiLCJ1c2VySWQiOiIyMTM4MTIxNDQifQ==</vt:lpwstr>
  </property>
  <property fmtid="{D5CDD505-2E9C-101B-9397-08002B2CF9AE}" pid="4" name="ICV">
    <vt:lpwstr>624C1A9157834DAFB873DDD28C17BDDD_13</vt:lpwstr>
  </property>
</Properties>
</file>