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C867A1">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ascii="等线" w:hAnsi="等线" w:eastAsia="等线"/>
          <w:b/>
          <w:bCs/>
          <w:color w:val="000000"/>
          <w:sz w:val="32"/>
          <w:szCs w:val="32"/>
          <w:lang w:val="en-US" w:eastAsia="zh-CN"/>
        </w:rPr>
      </w:pPr>
      <w:r>
        <w:rPr>
          <w:rFonts w:hint="eastAsia" w:ascii="等线" w:hAnsi="等线" w:eastAsia="等线"/>
          <w:b/>
          <w:bCs/>
          <w:color w:val="000000"/>
          <w:sz w:val="32"/>
          <w:szCs w:val="32"/>
          <w:lang w:val="en-US" w:eastAsia="zh-CN"/>
        </w:rPr>
        <w:t>血流动力学监测仪采购技术参数需求及商务要求</w:t>
      </w:r>
    </w:p>
    <w:p w14:paraId="1E381C4E">
      <w:pPr>
        <w:pStyle w:val="3"/>
        <w:keepNext w:val="0"/>
        <w:keepLines w:val="0"/>
        <w:widowControl/>
        <w:suppressLineNumbers w:val="0"/>
        <w:spacing w:before="60" w:beforeAutospacing="0" w:after="60" w:afterAutospacing="0" w:line="240" w:lineRule="auto"/>
        <w:ind w:left="0" w:right="0"/>
        <w:jc w:val="both"/>
        <w:rPr>
          <w:rFonts w:hint="default" w:ascii="宋体" w:hAnsi="宋体" w:eastAsia="宋体" w:cs="宋体"/>
          <w:sz w:val="20"/>
          <w:szCs w:val="20"/>
          <w:vertAlign w:val="baseline"/>
          <w:lang w:val="en-US" w:eastAsia="zh-CN"/>
        </w:rPr>
      </w:pPr>
      <w:r>
        <w:rPr>
          <w:rStyle w:val="6"/>
          <w:rFonts w:hint="eastAsia" w:ascii="宋体" w:hAnsi="宋体" w:eastAsia="宋体" w:cs="宋体"/>
          <w:sz w:val="22"/>
          <w:szCs w:val="22"/>
        </w:rPr>
        <w:t>一、</w:t>
      </w:r>
      <w:r>
        <w:rPr>
          <w:rStyle w:val="6"/>
          <w:rFonts w:hint="eastAsia" w:ascii="宋体" w:hAnsi="宋体" w:eastAsia="宋体" w:cs="宋体"/>
          <w:sz w:val="22"/>
          <w:szCs w:val="22"/>
          <w:lang w:val="en-US" w:eastAsia="zh-CN"/>
        </w:rPr>
        <w:t>技术参数需求</w:t>
      </w:r>
    </w:p>
    <w:p w14:paraId="2BF01769">
      <w:pPr>
        <w:pStyle w:val="3"/>
        <w:keepNext w:val="0"/>
        <w:keepLines w:val="0"/>
        <w:widowControl/>
        <w:suppressLineNumbers w:val="0"/>
        <w:spacing w:before="60" w:beforeAutospacing="0" w:after="60" w:afterAutospacing="0"/>
        <w:ind w:left="0" w:right="0"/>
        <w:rPr>
          <w:sz w:val="22"/>
          <w:szCs w:val="22"/>
        </w:rPr>
      </w:pPr>
      <w:r>
        <w:rPr>
          <w:rFonts w:hint="eastAsia" w:ascii="宋体" w:hAnsi="宋体" w:eastAsia="宋体" w:cs="宋体"/>
          <w:sz w:val="22"/>
          <w:szCs w:val="22"/>
        </w:rPr>
        <w:t>监护仪结构</w:t>
      </w:r>
    </w:p>
    <w:p w14:paraId="62092F66">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1.模块化插件式床边监护仪，主机、显示屏和插件槽一体化设计，主机模块插槽数≥6个（非电池插槽），且模块支持插入任意插槽。</w:t>
      </w:r>
    </w:p>
    <w:p w14:paraId="7C1B2FAD">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2.监护仪主机（非辅助插件箱）每个槽位均具备插件模块金属硬件通讯接口（非供电接口），保证模块通讯速率及稳定性。</w:t>
      </w:r>
    </w:p>
    <w:p w14:paraId="6B0A4AB8">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3.≥15.6英寸彩色电容触摸屏，高分辨率≥1920×1080像素，≥10通道显示，显示屏亮度自动调节，屏幕支持手势滑动操作；可内置高能锂电池，供电时间≥2小时</w:t>
      </w:r>
    </w:p>
    <w:p w14:paraId="28936800">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4.配置≥4个USB接口，支持连接鼠标、条码扫描枪和遥控器等USB设备。</w:t>
      </w:r>
    </w:p>
    <w:p w14:paraId="25EEFDD1">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5.监护仪主机工作温度环境范围：0~40°C。</w:t>
      </w:r>
    </w:p>
    <w:p w14:paraId="0B8FD290">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6.监护仪清洁消毒维护支持的消毒剂≥40种。 </w:t>
      </w:r>
    </w:p>
    <w:p w14:paraId="0EC02991">
      <w:pPr>
        <w:pStyle w:val="3"/>
        <w:keepNext w:val="0"/>
        <w:keepLines w:val="0"/>
        <w:widowControl/>
        <w:suppressLineNumbers w:val="0"/>
        <w:spacing w:before="60" w:beforeAutospacing="0" w:after="60" w:afterAutospacing="0"/>
        <w:ind w:left="0" w:right="0"/>
        <w:rPr>
          <w:sz w:val="22"/>
          <w:szCs w:val="22"/>
        </w:rPr>
      </w:pPr>
      <w:r>
        <w:rPr>
          <w:rFonts w:hint="eastAsia" w:ascii="宋体" w:hAnsi="宋体" w:eastAsia="宋体" w:cs="宋体"/>
          <w:sz w:val="22"/>
          <w:szCs w:val="22"/>
        </w:rPr>
        <w:t>监测参数</w:t>
      </w:r>
    </w:p>
    <w:p w14:paraId="059F4C78">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7.监护仪标配基本功能模块，基本功能模块支持心电、呼吸率、无创血压、血氧饱和度、脉搏、双通道体温和双通道有创血压的同时监测，以上参数都支持成人、小儿和新生儿病人类型</w:t>
      </w:r>
    </w:p>
    <w:p w14:paraId="0AF1D833">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8.基本功能模块为转运监护仪，从监护仪拔出后无需额外操作直接用于病人转运，可插入监护仪任意插槽作为主机模块，具有独立操作显示屏，屏幕尺寸≥5.5英寸，内置锂电池供电≥4小时，无风扇设计</w:t>
      </w:r>
    </w:p>
    <w:p w14:paraId="75EE7170">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9.转运监护仪可以实现插入监护仪主机的任意插槽。</w:t>
      </w:r>
    </w:p>
    <w:p w14:paraId="23A0DBE3">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10.支持室上性心动过速和SVCs/min等室上性心律失常分析。</w:t>
      </w:r>
    </w:p>
    <w:p w14:paraId="53477D2C">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11.心电支持≥4个分析导联实时动态同步分析，并非多个导联波形同屏显示及12导联静息分析。</w:t>
      </w:r>
    </w:p>
    <w:p w14:paraId="1694CC19">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12.提供ST段分析功能，适用于成人，小儿和新生儿，支持在专门的窗口中分组显示心脏前壁，下壁和侧壁的ST实时片段和参考片段</w:t>
      </w:r>
    </w:p>
    <w:p w14:paraId="2F4C21FE">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13.支持RR呼吸率测量，测量范围：0～200rpm</w:t>
      </w:r>
    </w:p>
    <w:p w14:paraId="3B6E4F4B">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14.QT和QTc实时监测参数测量范围：200～800 ms</w:t>
      </w:r>
    </w:p>
    <w:p w14:paraId="2373EDB2">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15.无创血压提供手动、自动间隔、连续、序列、整点五种测量模式</w:t>
      </w:r>
    </w:p>
    <w:p w14:paraId="17AC952A">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16.NIBP 成人病人类型收缩压测量：25～290mmHg</w:t>
      </w:r>
    </w:p>
    <w:p w14:paraId="2D757CAF">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17.配置指套式血氧探头，支持浸泡清洁与消毒，防水等级IPX7</w:t>
      </w:r>
    </w:p>
    <w:p w14:paraId="30CD6543">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18.支持双通道有创压IBP监测，支持升级多达8通道有创压监测</w:t>
      </w:r>
    </w:p>
    <w:p w14:paraId="36F0BCED">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19.有创压适用于成人，小儿和新生儿，有创压测量范围：-50～360mmHg</w:t>
      </w:r>
    </w:p>
    <w:p w14:paraId="297F7142">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20.支持多达8道IBP波形叠加显示，满足临床对比查看和节约显示空间的需求</w:t>
      </w:r>
    </w:p>
    <w:p w14:paraId="21B6655A">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21.支持升级AG麻醉气体模块，支</w:t>
      </w:r>
      <w:r>
        <w:rPr>
          <w:rFonts w:hint="eastAsia" w:ascii="宋体" w:hAnsi="宋体" w:eastAsia="宋体" w:cs="宋体"/>
          <w:color w:val="000000"/>
          <w:sz w:val="21"/>
          <w:szCs w:val="21"/>
        </w:rPr>
        <w:t>持麻醉气体分析（N2O，EtCO2，自动识别五种麻醉气体吸入呼出浓度监测），水槽式设计，水槽要求易用快速更换。</w:t>
      </w:r>
    </w:p>
    <w:p w14:paraId="174F9AC8">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22.支持升级主流、旁流、微流EtCO2监测模块，旁流EtCO2监测模块支持升级顺磁氧监测技术进行氧气监测，水槽要求易用快速更换</w:t>
      </w:r>
    </w:p>
    <w:p w14:paraId="4FA0A440">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23.配备心肺复苏质量指数或EtCO2监测模块，实现评估人工心肺复苏质量</w:t>
      </w:r>
    </w:p>
    <w:p w14:paraId="05767557">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24.支持升级CPR按压传感器，直观显示按压频率和按压深度</w:t>
      </w:r>
    </w:p>
    <w:p w14:paraId="11B911E0">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25.支持升级肌松NMT模块，采用三轴加速度方向识别技术，支持TOF，ST0.1，ST1.0，DBS3.2，DBS3.3，PTC测量模式。</w:t>
      </w:r>
    </w:p>
    <w:p w14:paraId="6F4D6437">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26.支持升级麻醉深度BIS模块，支持测单侧脑麻醉深度时可显示DSA界面。支持升级BISx4监测模块，提供不少于4通道EEG，双频指数（BIS），肌电活动（EMG）,抑制比（SR），频谱边缘频率（SEF）等参数的监测。</w:t>
      </w:r>
    </w:p>
    <w:p w14:paraId="3414707A">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27.可选配PiCCO监测模块，非无创电阻抗法，具有更好的监测准确性，实现CCO连续心排量、SVV每搏变异量等血液动力学监测参数，直观观察病人的变化情况。</w:t>
      </w:r>
    </w:p>
    <w:p w14:paraId="2837E75B">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28.标配FloTrac监测功能模块或可实现FloTrac技术单机产品，非漂浮导管热稀释法或无创阻抗法，用于上肢的动脉连续心排量监测，可通过监测桡动脉压力提供连续心排量（CCO），每搏量变异（SVV），实时外周血管阻力（SVR）等监测参数，满足连续血流动力学监测需求</w:t>
      </w:r>
    </w:p>
    <w:p w14:paraId="1B06A08D">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29.监护仪可通过FloTrac模块与FloTrac电缆连接，结合FloTrac传感器监测病人的连续心排量（CCO）和其它血液动力学参数。</w:t>
      </w:r>
    </w:p>
    <w:p w14:paraId="058B1DD3">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30.FloTrac可测量联合动脉置管获得的连续动脉血压信号，以及患者的年龄、性别、身高、体重等信息，计算患者的连续心排。</w:t>
      </w:r>
    </w:p>
    <w:p w14:paraId="393DF91C">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31.FloTrac测量适用于需要持续评估心脏功能、液体状态、血管阻力和压力之间平衡的危重患者，还可用于围手术期目标导向治疗方案内血液动力学参数的监测。</w:t>
      </w:r>
    </w:p>
    <w:p w14:paraId="15FC2BB9">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32.测量可监测参数（包括但不限定于）：CCO–连续心排血量、CCI–连续心指数、SV–每搏量/每搏输出量、SVI–每搏量指数/每搏输出量指数、SVR–全身血管阻力、SVRI–全身血管阻力指数。</w:t>
      </w:r>
    </w:p>
    <w:p w14:paraId="51853316">
      <w:pPr>
        <w:pStyle w:val="3"/>
        <w:keepNext w:val="0"/>
        <w:keepLines w:val="0"/>
        <w:widowControl/>
        <w:suppressLineNumbers w:val="0"/>
        <w:spacing w:before="60" w:beforeAutospacing="0" w:after="60" w:afterAutospacing="0"/>
        <w:ind w:left="0" w:right="0"/>
        <w:rPr>
          <w:sz w:val="22"/>
          <w:szCs w:val="22"/>
        </w:rPr>
      </w:pPr>
      <w:r>
        <w:rPr>
          <w:rFonts w:hint="eastAsia" w:ascii="宋体" w:hAnsi="宋体" w:eastAsia="宋体" w:cs="宋体"/>
          <w:sz w:val="22"/>
          <w:szCs w:val="22"/>
        </w:rPr>
        <w:t>系统功能</w:t>
      </w:r>
    </w:p>
    <w:p w14:paraId="67FA9EBD">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33.具有图形化报警指示功能和报警升级功能，当参数报警经过一定的时间未被处理或伴发了其他报警，就会升级到更高一个级别</w:t>
      </w:r>
    </w:p>
    <w:p w14:paraId="05879308">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34.当病人生命体征基础值异常或病人状态出现趋势性变化时，针对HR/PR, SpO2，RR和动脉压监测，监护仪支持根据病人的参数趋势变化，自动推送该参数的报警限需要进行调整的建议，同时提供该参数的趋势变化与报警限对比图供临床参考分析。</w:t>
      </w:r>
    </w:p>
    <w:p w14:paraId="122FE3B8">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35.具备参数组合报警功能（并非早期预警评分EWS），可对患者同时多个参数变化给出统一报警提示，预示病人不同生理系统状态改变，提供≥10个预设组合报警，并允许自定义≥10个组合报警</w:t>
      </w:r>
    </w:p>
    <w:p w14:paraId="30E25217">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36.标配具备血流动力学，药物计算，氧合计算，通气计算和肾功能计算功能。</w:t>
      </w:r>
    </w:p>
    <w:p w14:paraId="4F97C03E">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37.可升级血流动力学软件工具，显示完整血流动力学参数，并以图形化界面显示病人心脏收缩力，外周血管阻力等状态，提供电子化血流动力学实验记录，重点参数蛛网图显示评估病人相关参数变化。</w:t>
      </w:r>
    </w:p>
    <w:p w14:paraId="04BFE7FA">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38.可升级麻醉平衡指引工具，在同一个界面显示麻醉状态、大脑功能状态和相关参数的动态趋势，麻醉状态包含数字化和图形化显示病人意识、疼痛、肌松三方面麻醉状态；大脑功能状态可以图形化显示病人脑状态，并显示大脑状态相关的参数。可进行Aldrete复苏评分，满足临床对病人复苏拔管的评估。</w:t>
      </w:r>
    </w:p>
    <w:p w14:paraId="599CC54C">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39.支持≥100小时趋势表和趋势图回顾，最小分辨率1分钟</w:t>
      </w:r>
    </w:p>
    <w:p w14:paraId="43151528">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40.支持≥800条事件回顾。每条报警事件至少能够存储32秒三道相关波形，以及报警触发时所有测量参数值</w:t>
      </w:r>
    </w:p>
    <w:p w14:paraId="157E066D">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41.具备≥40小时全息波形的存储与回顾功能</w:t>
      </w:r>
    </w:p>
    <w:p w14:paraId="329C391D">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42.支持≥120小时（分辨率1分钟）ST模板存储与回顾</w:t>
      </w:r>
    </w:p>
    <w:p w14:paraId="7353E91C">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43.支持与除颤监护仪，遥测混合联通至中心监护系统，实现护士站的集中管理</w:t>
      </w:r>
    </w:p>
    <w:p w14:paraId="104CBA90">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44.监护仪的报警可升级通过手表实时分发给医护人员，保障患者安全</w:t>
      </w:r>
    </w:p>
    <w:p w14:paraId="07D8824D">
      <w:pPr>
        <w:pStyle w:val="3"/>
        <w:keepNext w:val="0"/>
        <w:keepLines w:val="0"/>
        <w:widowControl/>
        <w:suppressLineNumbers w:val="0"/>
        <w:spacing w:before="60" w:beforeAutospacing="0" w:after="60" w:afterAutospacing="0"/>
        <w:ind w:left="336" w:right="0"/>
      </w:pPr>
      <w:r>
        <w:rPr>
          <w:rFonts w:hint="eastAsia" w:ascii="宋体" w:hAnsi="宋体" w:eastAsia="宋体" w:cs="宋体"/>
          <w:sz w:val="21"/>
          <w:szCs w:val="21"/>
        </w:rPr>
        <w:t>45.监护仪可与同品牌呼吸机以及非同品牌输注泵通过无线方式融合显示在中央站界面</w:t>
      </w:r>
    </w:p>
    <w:p w14:paraId="073A52B7">
      <w:pPr>
        <w:pStyle w:val="3"/>
        <w:keepNext w:val="0"/>
        <w:keepLines w:val="0"/>
        <w:widowControl/>
        <w:suppressLineNumbers w:val="0"/>
        <w:spacing w:before="60" w:beforeAutospacing="0" w:after="60" w:afterAutospacing="0" w:line="240" w:lineRule="auto"/>
        <w:ind w:left="0" w:right="0"/>
        <w:jc w:val="both"/>
        <w:rPr>
          <w:rStyle w:val="6"/>
          <w:rFonts w:hint="default" w:ascii="宋体" w:hAnsi="宋体" w:eastAsia="宋体" w:cs="宋体"/>
          <w:sz w:val="22"/>
          <w:szCs w:val="22"/>
          <w:lang w:val="en-US" w:eastAsia="zh-CN"/>
        </w:rPr>
      </w:pPr>
      <w:r>
        <w:rPr>
          <w:rStyle w:val="6"/>
          <w:rFonts w:hint="eastAsia" w:ascii="宋体" w:hAnsi="宋体" w:eastAsia="宋体" w:cs="宋体"/>
          <w:sz w:val="22"/>
          <w:szCs w:val="22"/>
          <w:lang w:val="en-US" w:eastAsia="zh-CN"/>
        </w:rPr>
        <w:t>二、商务要求</w:t>
      </w:r>
    </w:p>
    <w:p w14:paraId="45DA0B41">
      <w:pPr>
        <w:keepNext w:val="0"/>
        <w:keepLines w:val="0"/>
        <w:pageBreakBefore w:val="0"/>
        <w:widowControl w:val="0"/>
        <w:numPr>
          <w:ilvl w:val="0"/>
          <w:numId w:val="1"/>
        </w:numPr>
        <w:kinsoku/>
        <w:wordWrap/>
        <w:overflowPunct/>
        <w:topLinePunct w:val="0"/>
        <w:autoSpaceDE/>
        <w:autoSpaceDN/>
        <w:bidi w:val="0"/>
        <w:adjustRightInd/>
        <w:snapToGrid/>
        <w:spacing w:before="60" w:after="60" w:line="240" w:lineRule="auto"/>
        <w:ind w:left="0" w:leftChars="0" w:firstLine="400" w:firstLineChars="200"/>
        <w:textAlignment w:val="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本项</w:t>
      </w:r>
      <w:r>
        <w:rPr>
          <w:rFonts w:hint="eastAsia"/>
          <w:sz w:val="20"/>
          <w:szCs w:val="22"/>
        </w:rPr>
        <w:t>目预算金额为</w:t>
      </w:r>
      <w:r>
        <w:rPr>
          <w:rFonts w:hint="eastAsia" w:ascii="宋体" w:hAnsi="宋体" w:eastAsia="宋体" w:cs="宋体"/>
          <w:kern w:val="0"/>
          <w:sz w:val="20"/>
          <w:szCs w:val="20"/>
          <w:vertAlign w:val="baseline"/>
          <w:lang w:val="en-US" w:eastAsia="zh-CN" w:bidi="ar"/>
        </w:rPr>
        <w:t>30万元（15万元/套），最高限价30万元（15万元/套</w:t>
      </w:r>
      <w:bookmarkStart w:id="0" w:name="_GoBack"/>
      <w:bookmarkEnd w:id="0"/>
      <w:r>
        <w:rPr>
          <w:rFonts w:hint="eastAsia" w:ascii="宋体" w:hAnsi="宋体" w:eastAsia="宋体" w:cs="宋体"/>
          <w:kern w:val="0"/>
          <w:sz w:val="20"/>
          <w:szCs w:val="20"/>
          <w:vertAlign w:val="baseline"/>
          <w:lang w:val="en-US" w:eastAsia="zh-CN" w:bidi="ar"/>
        </w:rPr>
        <w:t>），报价不得超出最高限价，否则报价无效。</w:t>
      </w:r>
    </w:p>
    <w:p w14:paraId="1314A189">
      <w:pPr>
        <w:keepNext w:val="0"/>
        <w:keepLines w:val="0"/>
        <w:pageBreakBefore w:val="0"/>
        <w:widowControl w:val="0"/>
        <w:numPr>
          <w:ilvl w:val="0"/>
          <w:numId w:val="1"/>
        </w:numPr>
        <w:kinsoku/>
        <w:wordWrap/>
        <w:overflowPunct/>
        <w:topLinePunct w:val="0"/>
        <w:autoSpaceDE/>
        <w:autoSpaceDN/>
        <w:bidi w:val="0"/>
        <w:adjustRightInd/>
        <w:snapToGrid/>
        <w:spacing w:before="60" w:after="60" w:line="240" w:lineRule="auto"/>
        <w:ind w:left="0" w:leftChars="0" w:firstLine="400" w:firstLineChars="200"/>
        <w:textAlignment w:val="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所有参数需进行对应响应，提供需求参数偏离表，缺漏、不提供则认定为响应无效。</w:t>
      </w:r>
    </w:p>
    <w:p w14:paraId="1C526A12">
      <w:pPr>
        <w:keepNext w:val="0"/>
        <w:keepLines w:val="0"/>
        <w:pageBreakBefore w:val="0"/>
        <w:widowControl w:val="0"/>
        <w:numPr>
          <w:ilvl w:val="0"/>
          <w:numId w:val="1"/>
        </w:numPr>
        <w:kinsoku/>
        <w:wordWrap/>
        <w:overflowPunct/>
        <w:topLinePunct w:val="0"/>
        <w:autoSpaceDE/>
        <w:autoSpaceDN/>
        <w:bidi w:val="0"/>
        <w:adjustRightInd/>
        <w:snapToGrid/>
        <w:spacing w:before="60" w:after="60" w:line="240" w:lineRule="auto"/>
        <w:ind w:left="0" w:leftChars="0" w:firstLine="400" w:firstLineChars="200"/>
        <w:textAlignment w:val="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响应产品须列明品牌、生产厂家、型号。</w:t>
      </w:r>
    </w:p>
    <w:p w14:paraId="67F56674">
      <w:pPr>
        <w:keepNext w:val="0"/>
        <w:keepLines w:val="0"/>
        <w:pageBreakBefore w:val="0"/>
        <w:widowControl w:val="0"/>
        <w:numPr>
          <w:ilvl w:val="0"/>
          <w:numId w:val="1"/>
        </w:numPr>
        <w:kinsoku/>
        <w:wordWrap/>
        <w:overflowPunct/>
        <w:topLinePunct w:val="0"/>
        <w:autoSpaceDE/>
        <w:autoSpaceDN/>
        <w:bidi w:val="0"/>
        <w:adjustRightInd/>
        <w:snapToGrid/>
        <w:spacing w:before="60" w:after="60" w:line="240" w:lineRule="auto"/>
        <w:ind w:left="0" w:leftChars="0" w:firstLine="400" w:firstLineChars="200"/>
        <w:textAlignment w:val="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成交供应商需缴纳履约保证金（按成交金额的按5%缴纳，中小微企业按成交金额的按2%缴纳（需提供中小微企业证明）），在承诺的质保期期满后无息退还给成交供应商。</w:t>
      </w:r>
    </w:p>
    <w:p w14:paraId="2A43B321">
      <w:pPr>
        <w:keepNext w:val="0"/>
        <w:keepLines w:val="0"/>
        <w:pageBreakBefore w:val="0"/>
        <w:widowControl w:val="0"/>
        <w:numPr>
          <w:ilvl w:val="0"/>
          <w:numId w:val="1"/>
        </w:numPr>
        <w:kinsoku/>
        <w:wordWrap/>
        <w:overflowPunct/>
        <w:topLinePunct w:val="0"/>
        <w:autoSpaceDE/>
        <w:autoSpaceDN/>
        <w:bidi w:val="0"/>
        <w:adjustRightInd/>
        <w:snapToGrid/>
        <w:spacing w:before="60" w:after="60" w:line="240" w:lineRule="auto"/>
        <w:ind w:left="0" w:leftChars="0" w:firstLine="400" w:firstLineChars="200"/>
        <w:textAlignment w:val="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报价包括各种税金、运输费、搬运费（运至院方指定的楼层和科室）、材料费、人工费、调试安装费等一切费用。</w:t>
      </w:r>
    </w:p>
    <w:p w14:paraId="5F78C16D">
      <w:pPr>
        <w:keepNext w:val="0"/>
        <w:keepLines w:val="0"/>
        <w:pageBreakBefore w:val="0"/>
        <w:widowControl w:val="0"/>
        <w:numPr>
          <w:ilvl w:val="0"/>
          <w:numId w:val="1"/>
        </w:numPr>
        <w:kinsoku/>
        <w:wordWrap/>
        <w:overflowPunct/>
        <w:topLinePunct w:val="0"/>
        <w:autoSpaceDE/>
        <w:autoSpaceDN/>
        <w:bidi w:val="0"/>
        <w:adjustRightInd/>
        <w:snapToGrid/>
        <w:spacing w:before="60" w:after="60" w:line="240" w:lineRule="auto"/>
        <w:ind w:left="0" w:leftChars="0" w:firstLine="400" w:firstLineChars="200"/>
        <w:textAlignment w:val="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成交供应商保证向采购人提供的货物是全新、完整、未使用过的，说明书和合格证等相关证书必须完整，产品的品牌型号需按成交供应商承诺的执行，成交供应商若提供的产品不符合参数要求、品牌型号不一致、相关证书缺失或有质量问题，采购人有权拒收并有权要求供应商更换，产生的费用由成交人承担。</w:t>
      </w:r>
    </w:p>
    <w:p w14:paraId="22412680">
      <w:pPr>
        <w:keepNext w:val="0"/>
        <w:keepLines w:val="0"/>
        <w:pageBreakBefore w:val="0"/>
        <w:widowControl w:val="0"/>
        <w:numPr>
          <w:ilvl w:val="0"/>
          <w:numId w:val="1"/>
        </w:numPr>
        <w:kinsoku/>
        <w:wordWrap/>
        <w:overflowPunct/>
        <w:topLinePunct w:val="0"/>
        <w:autoSpaceDE/>
        <w:autoSpaceDN/>
        <w:bidi w:val="0"/>
        <w:adjustRightInd/>
        <w:snapToGrid/>
        <w:spacing w:before="60" w:after="60" w:line="240" w:lineRule="auto"/>
        <w:ind w:left="0" w:leftChars="0" w:firstLine="400" w:firstLineChars="200"/>
        <w:textAlignment w:val="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 xml:space="preserve">按国家有关产品“三包”规定执行“三包”，除特别说明外，质保期不得少于3年，自产品验收合格并能正常使用之日算起。如响应文件中提供产品生产厂家对质保期的承诺，与供应商承诺不一致的，以生产厂家承诺为准。 </w:t>
      </w:r>
    </w:p>
    <w:p w14:paraId="661D7336">
      <w:pPr>
        <w:keepNext w:val="0"/>
        <w:keepLines w:val="0"/>
        <w:pageBreakBefore w:val="0"/>
        <w:widowControl w:val="0"/>
        <w:numPr>
          <w:ilvl w:val="0"/>
          <w:numId w:val="1"/>
        </w:numPr>
        <w:kinsoku/>
        <w:wordWrap/>
        <w:overflowPunct/>
        <w:topLinePunct w:val="0"/>
        <w:autoSpaceDE/>
        <w:autoSpaceDN/>
        <w:bidi w:val="0"/>
        <w:adjustRightInd/>
        <w:snapToGrid/>
        <w:spacing w:before="60" w:after="60" w:line="240" w:lineRule="auto"/>
        <w:ind w:left="0" w:leftChars="0" w:firstLine="400" w:firstLineChars="200"/>
        <w:textAlignment w:val="auto"/>
        <w:rPr>
          <w:rFonts w:hint="eastAsia" w:ascii="宋体" w:hAnsi="宋体" w:eastAsia="宋体" w:cs="宋体"/>
          <w:kern w:val="0"/>
          <w:sz w:val="20"/>
          <w:szCs w:val="20"/>
          <w:vertAlign w:val="baseline"/>
          <w:lang w:val="en-US" w:eastAsia="zh-CN" w:bidi="ar"/>
        </w:rPr>
      </w:pPr>
      <w:r>
        <w:rPr>
          <w:rFonts w:hint="eastAsia" w:ascii="宋体" w:hAnsi="宋体" w:eastAsia="宋体" w:cs="宋体"/>
          <w:kern w:val="0"/>
          <w:sz w:val="20"/>
          <w:szCs w:val="20"/>
          <w:vertAlign w:val="baseline"/>
          <w:lang w:val="en-US" w:eastAsia="zh-CN" w:bidi="ar"/>
        </w:rPr>
        <w:t>售后服务：成交供应商提供7*24小时售后服务，质保期内产品出现故障，在接到电话通知后，2小时内做出响应（远程解决或做出预备维护动作），24小时内到达维修现场。一般问题应在24小时内解决，否则须在采购人允许的迅速解决的问题的期限（即接到采购人通知后的24小时内）后二个工作日内提供与原产品技术参数要求相同或高于原产品技术参数要求的备用产品，以保证采购人的正常工作。重大问题或其它无法迅速解决的问题应在五个工作日内解决，供应商在接到采购人通知后拒不响应或解决故障的，采购人有权聘请第三方进行维修，由此产生的费用由供应商承担。</w:t>
      </w:r>
    </w:p>
    <w:p w14:paraId="2EC881AE">
      <w:pPr>
        <w:pStyle w:val="3"/>
        <w:keepNext w:val="0"/>
        <w:keepLines w:val="0"/>
        <w:pageBreakBefore w:val="0"/>
        <w:widowControl/>
        <w:suppressLineNumbers w:val="0"/>
        <w:kinsoku/>
        <w:wordWrap/>
        <w:overflowPunct/>
        <w:topLinePunct w:val="0"/>
        <w:autoSpaceDE/>
        <w:autoSpaceDN/>
        <w:bidi w:val="0"/>
        <w:adjustRightInd/>
        <w:snapToGrid/>
        <w:spacing w:before="60" w:beforeAutospacing="0" w:after="60" w:afterAutospacing="0" w:line="240" w:lineRule="auto"/>
        <w:ind w:left="0" w:right="0" w:firstLine="400" w:firstLineChars="200"/>
        <w:jc w:val="both"/>
        <w:textAlignment w:val="baseline"/>
        <w:rPr>
          <w:rFonts w:hint="eastAsia" w:ascii="宋体" w:hAnsi="宋体" w:eastAsia="宋体" w:cs="宋体"/>
          <w:sz w:val="20"/>
          <w:szCs w:val="20"/>
          <w:vertAlign w:val="baseline"/>
          <w:lang w:val="en-US" w:eastAsia="zh-CN"/>
        </w:rPr>
      </w:pPr>
    </w:p>
    <w:p w14:paraId="14793964">
      <w:pPr>
        <w:pStyle w:val="3"/>
        <w:keepNext w:val="0"/>
        <w:keepLines w:val="0"/>
        <w:pageBreakBefore w:val="0"/>
        <w:widowControl/>
        <w:suppressLineNumbers w:val="0"/>
        <w:kinsoku/>
        <w:wordWrap/>
        <w:overflowPunct/>
        <w:topLinePunct w:val="0"/>
        <w:autoSpaceDE/>
        <w:autoSpaceDN/>
        <w:bidi w:val="0"/>
        <w:adjustRightInd/>
        <w:snapToGrid/>
        <w:spacing w:before="60" w:beforeAutospacing="0" w:after="60" w:afterAutospacing="0"/>
        <w:ind w:left="0" w:right="0" w:firstLine="480" w:firstLineChars="200"/>
      </w:pPr>
    </w:p>
    <w:p w14:paraId="02EF7504">
      <w:pPr>
        <w:keepNext w:val="0"/>
        <w:keepLines w:val="0"/>
        <w:pageBreakBefore w:val="0"/>
        <w:kinsoku/>
        <w:wordWrap/>
        <w:overflowPunct/>
        <w:topLinePunct w:val="0"/>
        <w:autoSpaceDE/>
        <w:autoSpaceDN/>
        <w:bidi w:val="0"/>
        <w:adjustRightInd/>
        <w:snapToGrid/>
        <w:ind w:firstLine="420" w:firstLineChars="20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DC4872"/>
    <w:multiLevelType w:val="singleLevel"/>
    <w:tmpl w:val="56DC4872"/>
    <w:lvl w:ilvl="0" w:tentative="0">
      <w:start w:val="1"/>
      <w:numFmt w:val="decimal"/>
      <w:suff w:val="nothing"/>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246E0D"/>
    <w:rsid w:val="0C246E0D"/>
    <w:rsid w:val="0FB232E1"/>
    <w:rsid w:val="288D5494"/>
    <w:rsid w:val="4B6F2C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2977</Words>
  <Characters>3303</Characters>
  <Lines>0</Lines>
  <Paragraphs>0</Paragraphs>
  <TotalTime>0</TotalTime>
  <ScaleCrop>false</ScaleCrop>
  <LinksUpToDate>false</LinksUpToDate>
  <CharactersWithSpaces>3308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2026-09-07T09:28:00Z</dcterms:created>
  <dc:creator>秋秋</dc:creator>
  <cp:lastModifiedBy>秋秋</cp:lastModifiedBy>
  <dcterms:modified xsi:type="dcterms:W3CDTF">2026-10-08T02:58:33Z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5483A3B549C24F5196CDD347F88172F4_11</vt:lpwstr>
  </property>
  <property fmtid="{D5CDD505-2E9C-101B-9397-08002B2CF9AE}" pid="4" name="KSOTemplateDocerSaveRecord">
    <vt:lpwstr>eyJoZGlkIjoiY2Q2MjU2MzMxMTIyNzIyYTQyZjg1OTZhMmRkYzhlY2QiLCJ1c2VySWQiOiI0MTcxNjY3MTMifQ==</vt:lpwstr>
  </property>
</Properties>
</file>