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BFEA5">
      <w:pPr>
        <w:spacing w:line="300" w:lineRule="auto"/>
        <w:ind w:left="720" w:hanging="720"/>
        <w:jc w:val="center"/>
        <w:rPr>
          <w:rFonts w:hint="eastAsia" w:eastAsia="方正小标宋简体"/>
          <w:color w:val="000000"/>
        </w:rPr>
      </w:pPr>
      <w:r>
        <w:rPr>
          <w:rFonts w:hint="eastAsia" w:ascii="方正小标宋简体" w:hAnsi="方正小标宋简体" w:eastAsia="方正小标宋简体" w:cs="方正小标宋简体"/>
          <w:b/>
          <w:bCs/>
          <w:sz w:val="40"/>
          <w:szCs w:val="40"/>
        </w:rPr>
        <w:t>转化医学实验室科研计算GPU工作站需求参数</w:t>
      </w:r>
    </w:p>
    <w:p w14:paraId="18B340D5">
      <w:pPr>
        <w:numPr>
          <w:ilvl w:val="0"/>
          <w:numId w:val="1"/>
        </w:numPr>
        <w:adjustRightInd w:val="0"/>
        <w:snapToGrid w:val="0"/>
        <w:spacing w:after="0" w:line="520" w:lineRule="exact"/>
        <w:ind w:firstLine="482" w:firstLineChars="200"/>
        <w:jc w:val="both"/>
        <w:rPr>
          <w:rFonts w:hint="eastAsia" w:ascii="仿宋_GB2312" w:hAnsi="仿宋_GB2312" w:eastAsia="仿宋_GB2312" w:cs="仿宋_GB2312"/>
          <w:b/>
          <w:bCs/>
          <w:color w:val="000000"/>
          <w:sz w:val="24"/>
          <w14:ligatures w14:val="none"/>
        </w:rPr>
      </w:pPr>
      <w:r>
        <w:rPr>
          <w:rFonts w:hint="eastAsia" w:ascii="仿宋_GB2312" w:hAnsi="仿宋_GB2312" w:eastAsia="仿宋_GB2312" w:cs="仿宋_GB2312"/>
          <w:b/>
          <w:bCs/>
          <w:color w:val="000000"/>
          <w:sz w:val="24"/>
          <w14:ligatures w14:val="none"/>
        </w:rPr>
        <w:t>项目概况</w:t>
      </w:r>
    </w:p>
    <w:p w14:paraId="42EBE734">
      <w:pPr>
        <w:adjustRightInd w:val="0"/>
        <w:snapToGrid w:val="0"/>
        <w:spacing w:after="0" w:line="520" w:lineRule="exact"/>
        <w:ind w:left="440" w:leftChars="200" w:firstLine="456" w:firstLineChars="200"/>
        <w:jc w:val="both"/>
        <w:rPr>
          <w:rFonts w:hint="eastAsia" w:ascii="仿宋_GB2312" w:hAnsi="仿宋_GB2312" w:eastAsia="仿宋_GB2312" w:cs="仿宋_GB2312"/>
          <w:color w:val="000000"/>
          <w:spacing w:val="-6"/>
          <w:sz w:val="24"/>
          <w:szCs w:val="32"/>
          <w14:ligatures w14:val="none"/>
        </w:rPr>
      </w:pPr>
      <w:r>
        <w:rPr>
          <w:rFonts w:hint="eastAsia" w:ascii="仿宋_GB2312" w:hAnsi="仿宋_GB2312" w:eastAsia="仿宋_GB2312" w:cs="仿宋_GB2312"/>
          <w:color w:val="000000"/>
          <w:spacing w:val="-6"/>
          <w:sz w:val="24"/>
          <w:szCs w:val="32"/>
          <w14:ligatures w14:val="none"/>
        </w:rPr>
        <w:t>（一）采购单位：</w:t>
      </w:r>
      <w:bookmarkStart w:id="0" w:name="OLE_LINK21"/>
      <w:r>
        <w:rPr>
          <w:rFonts w:hint="eastAsia" w:ascii="仿宋_GB2312" w:hAnsi="仿宋_GB2312" w:eastAsia="仿宋_GB2312" w:cs="仿宋_GB2312"/>
          <w:color w:val="000000"/>
          <w:spacing w:val="-6"/>
          <w:sz w:val="24"/>
          <w:szCs w:val="32"/>
          <w14:ligatures w14:val="none"/>
        </w:rPr>
        <w:t>中山大学附属第一医院广西医院</w:t>
      </w:r>
      <w:bookmarkEnd w:id="0"/>
    </w:p>
    <w:p w14:paraId="5C80FEE8">
      <w:pPr>
        <w:adjustRightInd w:val="0"/>
        <w:snapToGrid w:val="0"/>
        <w:spacing w:after="0" w:line="520" w:lineRule="exact"/>
        <w:ind w:left="440" w:leftChars="200" w:firstLine="456" w:firstLineChars="200"/>
        <w:jc w:val="both"/>
        <w:rPr>
          <w:rFonts w:hint="eastAsia" w:ascii="仿宋_GB2312" w:hAnsi="仿宋_GB2312" w:eastAsia="仿宋_GB2312" w:cs="仿宋_GB2312"/>
          <w:color w:val="000000"/>
          <w:spacing w:val="-6"/>
          <w:sz w:val="24"/>
          <w:szCs w:val="32"/>
          <w14:ligatures w14:val="none"/>
        </w:rPr>
      </w:pPr>
      <w:r>
        <w:rPr>
          <w:rFonts w:hint="eastAsia" w:ascii="仿宋_GB2312" w:hAnsi="仿宋_GB2312" w:eastAsia="仿宋_GB2312" w:cs="仿宋_GB2312"/>
          <w:color w:val="000000"/>
          <w:spacing w:val="-6"/>
          <w:sz w:val="24"/>
          <w:szCs w:val="32"/>
          <w14:ligatures w14:val="none"/>
        </w:rPr>
        <w:t>（二）项目名称：转化医学实验室科研计算GPU工作站（预算名称：科研GPU计算工作站）</w:t>
      </w:r>
    </w:p>
    <w:p w14:paraId="1BBE5C0E">
      <w:pPr>
        <w:adjustRightInd w:val="0"/>
        <w:snapToGrid w:val="0"/>
        <w:spacing w:after="0" w:line="520" w:lineRule="exact"/>
        <w:ind w:left="440" w:leftChars="200" w:firstLine="456" w:firstLineChars="200"/>
        <w:jc w:val="both"/>
        <w:rPr>
          <w:rFonts w:hint="eastAsia" w:ascii="仿宋_GB2312" w:hAnsi="仿宋_GB2312" w:eastAsia="仿宋_GB2312" w:cs="仿宋_GB2312"/>
          <w:color w:val="000000"/>
          <w:spacing w:val="-6"/>
          <w:sz w:val="24"/>
          <w:szCs w:val="32"/>
          <w14:ligatures w14:val="none"/>
        </w:rPr>
      </w:pPr>
      <w:r>
        <w:rPr>
          <w:rFonts w:hint="eastAsia" w:ascii="仿宋_GB2312" w:hAnsi="仿宋_GB2312" w:eastAsia="仿宋_GB2312" w:cs="仿宋_GB2312"/>
          <w:color w:val="000000"/>
          <w:spacing w:val="-6"/>
          <w:sz w:val="24"/>
          <w:szCs w:val="32"/>
          <w14:ligatures w14:val="none"/>
        </w:rPr>
        <w:t>（三）项目地点：广西壮族自治区南宁市青秀区佛子岭路3号</w:t>
      </w:r>
    </w:p>
    <w:p w14:paraId="5D8FEC14">
      <w:pPr>
        <w:adjustRightInd w:val="0"/>
        <w:snapToGrid w:val="0"/>
        <w:spacing w:after="0" w:line="520" w:lineRule="exact"/>
        <w:ind w:left="440" w:leftChars="200" w:firstLine="456" w:firstLineChars="200"/>
        <w:jc w:val="both"/>
        <w:rPr>
          <w:rFonts w:hint="eastAsia" w:ascii="仿宋_GB2312" w:hAnsi="仿宋_GB2312" w:eastAsia="仿宋_GB2312" w:cs="仿宋_GB2312"/>
          <w:color w:val="000000"/>
          <w:spacing w:val="-6"/>
          <w:sz w:val="24"/>
          <w:szCs w:val="32"/>
          <w14:ligatures w14:val="none"/>
        </w:rPr>
      </w:pPr>
      <w:r>
        <w:rPr>
          <w:rFonts w:hint="eastAsia" w:ascii="仿宋_GB2312" w:hAnsi="仿宋_GB2312" w:eastAsia="仿宋_GB2312" w:cs="仿宋_GB2312"/>
          <w:color w:val="000000"/>
          <w:spacing w:val="-6"/>
          <w:sz w:val="24"/>
          <w:szCs w:val="32"/>
          <w14:ligatures w14:val="none"/>
        </w:rPr>
        <w:t>（四）采购预算：45万元</w:t>
      </w:r>
    </w:p>
    <w:p w14:paraId="2B9262A0">
      <w:pPr>
        <w:adjustRightInd w:val="0"/>
        <w:snapToGrid w:val="0"/>
        <w:spacing w:after="0" w:line="520" w:lineRule="exact"/>
        <w:ind w:left="440" w:leftChars="200" w:firstLine="456" w:firstLineChars="200"/>
        <w:jc w:val="both"/>
        <w:rPr>
          <w:rFonts w:hint="eastAsia" w:ascii="仿宋_GB2312" w:hAnsi="仿宋_GB2312" w:eastAsia="仿宋_GB2312" w:cs="仿宋_GB2312"/>
          <w:color w:val="000000"/>
          <w:spacing w:val="-6"/>
          <w:sz w:val="24"/>
          <w:szCs w:val="32"/>
          <w14:ligatures w14:val="none"/>
        </w:rPr>
      </w:pPr>
      <w:r>
        <w:rPr>
          <w:rFonts w:hint="eastAsia" w:ascii="仿宋_GB2312" w:hAnsi="仿宋_GB2312" w:eastAsia="仿宋_GB2312" w:cs="仿宋_GB2312"/>
          <w:color w:val="000000"/>
          <w:spacing w:val="-6"/>
          <w:sz w:val="24"/>
          <w:szCs w:val="32"/>
          <w14:ligatures w14:val="none"/>
        </w:rPr>
        <w:t>（五）采购上控价：44.86万元</w:t>
      </w:r>
    </w:p>
    <w:p w14:paraId="2BCC0FB8">
      <w:pPr>
        <w:adjustRightInd w:val="0"/>
        <w:snapToGrid w:val="0"/>
        <w:spacing w:after="0" w:line="520" w:lineRule="exact"/>
        <w:ind w:left="440" w:leftChars="200" w:firstLine="456" w:firstLineChars="200"/>
        <w:jc w:val="both"/>
        <w:rPr>
          <w:rFonts w:hint="eastAsia" w:ascii="仿宋_GB2312" w:hAnsi="仿宋_GB2312" w:eastAsia="仿宋_GB2312" w:cs="仿宋_GB2312"/>
          <w:color w:val="000000"/>
          <w:spacing w:val="-6"/>
          <w:sz w:val="24"/>
          <w:szCs w:val="32"/>
          <w14:ligatures w14:val="none"/>
        </w:rPr>
      </w:pPr>
      <w:r>
        <w:rPr>
          <w:rFonts w:hint="eastAsia" w:ascii="仿宋_GB2312" w:hAnsi="仿宋_GB2312" w:eastAsia="仿宋_GB2312" w:cs="仿宋_GB2312"/>
          <w:color w:val="000000"/>
          <w:spacing w:val="-6"/>
          <w:sz w:val="24"/>
          <w:szCs w:val="32"/>
          <w14:ligatures w14:val="none"/>
        </w:rPr>
        <w:t>（六）采购方式：建议拟采用院内谈判</w:t>
      </w:r>
    </w:p>
    <w:p w14:paraId="7401FB50">
      <w:pPr>
        <w:numPr>
          <w:ilvl w:val="0"/>
          <w:numId w:val="1"/>
        </w:numPr>
        <w:adjustRightInd w:val="0"/>
        <w:snapToGrid w:val="0"/>
        <w:spacing w:after="0" w:line="520" w:lineRule="exact"/>
        <w:ind w:firstLine="482" w:firstLineChars="200"/>
        <w:jc w:val="both"/>
        <w:rPr>
          <w:rFonts w:hint="eastAsia" w:ascii="仿宋_GB2312" w:hAnsi="仿宋_GB2312" w:eastAsia="仿宋_GB2312" w:cs="仿宋_GB2312"/>
          <w:b/>
          <w:bCs/>
          <w:color w:val="000000"/>
          <w:sz w:val="24"/>
          <w14:ligatures w14:val="none"/>
        </w:rPr>
      </w:pPr>
      <w:r>
        <w:rPr>
          <w:rFonts w:hint="eastAsia" w:ascii="仿宋_GB2312" w:hAnsi="仿宋_GB2312" w:eastAsia="仿宋_GB2312" w:cs="仿宋_GB2312"/>
          <w:b/>
          <w:bCs/>
          <w:color w:val="000000"/>
          <w:sz w:val="24"/>
          <w14:ligatures w14:val="none"/>
        </w:rPr>
        <w:t>资质要求</w:t>
      </w:r>
    </w:p>
    <w:p w14:paraId="4C51D395">
      <w:pPr>
        <w:adjustRightInd w:val="0"/>
        <w:snapToGrid w:val="0"/>
        <w:spacing w:after="0" w:line="520" w:lineRule="exact"/>
        <w:ind w:left="440" w:leftChars="200" w:firstLine="456" w:firstLineChars="200"/>
        <w:jc w:val="both"/>
        <w:rPr>
          <w:rFonts w:hint="eastAsia" w:ascii="仿宋_GB2312" w:hAnsi="仿宋_GB2312" w:eastAsia="仿宋_GB2312" w:cs="仿宋_GB2312"/>
          <w:color w:val="000000"/>
          <w:spacing w:val="-6"/>
          <w:sz w:val="24"/>
          <w:szCs w:val="32"/>
          <w14:ligatures w14:val="none"/>
        </w:rPr>
      </w:pPr>
      <w:r>
        <w:rPr>
          <w:rFonts w:hint="eastAsia" w:ascii="仿宋_GB2312" w:hAnsi="仿宋_GB2312" w:eastAsia="仿宋_GB2312" w:cs="仿宋_GB2312"/>
          <w:color w:val="000000"/>
          <w:spacing w:val="-6"/>
          <w:sz w:val="24"/>
          <w:szCs w:val="32"/>
          <w14:ligatures w14:val="none"/>
        </w:rPr>
        <w:t>（一）具有国内独立法人资格，注册经营范围满足本项目内容的供应商。</w:t>
      </w:r>
    </w:p>
    <w:p w14:paraId="485C8205">
      <w:pPr>
        <w:adjustRightInd w:val="0"/>
        <w:snapToGrid w:val="0"/>
        <w:spacing w:after="0" w:line="520" w:lineRule="exact"/>
        <w:ind w:left="440" w:leftChars="200" w:firstLine="456" w:firstLineChars="200"/>
        <w:jc w:val="both"/>
        <w:rPr>
          <w:rFonts w:hint="eastAsia" w:ascii="仿宋_GB2312" w:hAnsi="仿宋_GB2312" w:eastAsia="仿宋_GB2312" w:cs="仿宋_GB2312"/>
          <w:color w:val="000000"/>
          <w:spacing w:val="-6"/>
          <w:sz w:val="24"/>
          <w:szCs w:val="32"/>
          <w14:ligatures w14:val="none"/>
        </w:rPr>
      </w:pPr>
      <w:r>
        <w:rPr>
          <w:rFonts w:hint="eastAsia" w:ascii="仿宋_GB2312" w:hAnsi="仿宋_GB2312" w:eastAsia="仿宋_GB2312" w:cs="仿宋_GB2312"/>
          <w:color w:val="000000"/>
          <w:spacing w:val="-6"/>
          <w:sz w:val="24"/>
          <w:szCs w:val="32"/>
          <w14:ligatures w14:val="none"/>
        </w:rPr>
        <w:t>（二）本项目不接受联合体报名。</w:t>
      </w:r>
    </w:p>
    <w:p w14:paraId="7A9C296A">
      <w:pPr>
        <w:numPr>
          <w:ilvl w:val="0"/>
          <w:numId w:val="1"/>
        </w:numPr>
        <w:adjustRightInd w:val="0"/>
        <w:snapToGrid w:val="0"/>
        <w:spacing w:after="0" w:line="520" w:lineRule="exact"/>
        <w:ind w:firstLine="482" w:firstLineChars="200"/>
        <w:jc w:val="both"/>
        <w:rPr>
          <w:rFonts w:hint="eastAsia" w:ascii="仿宋_GB2312" w:hAnsi="仿宋_GB2312" w:eastAsia="仿宋_GB2312" w:cs="仿宋_GB2312"/>
          <w:b/>
          <w:bCs/>
          <w:color w:val="000000"/>
          <w:sz w:val="24"/>
          <w14:ligatures w14:val="none"/>
        </w:rPr>
      </w:pPr>
      <w:r>
        <w:rPr>
          <w:rFonts w:hint="eastAsia" w:ascii="仿宋_GB2312" w:hAnsi="仿宋_GB2312" w:eastAsia="仿宋_GB2312" w:cs="仿宋_GB2312"/>
          <w:b/>
          <w:bCs/>
          <w:color w:val="000000"/>
          <w:sz w:val="24"/>
          <w14:ligatures w14:val="none"/>
        </w:rPr>
        <w:t>参数需求</w:t>
      </w:r>
    </w:p>
    <w:p w14:paraId="301843E7">
      <w:pPr>
        <w:adjustRightInd w:val="0"/>
        <w:snapToGrid w:val="0"/>
        <w:spacing w:after="0" w:line="520" w:lineRule="exact"/>
        <w:ind w:left="440" w:leftChars="200" w:firstLine="456" w:firstLineChars="200"/>
        <w:jc w:val="both"/>
        <w:rPr>
          <w:rFonts w:hint="eastAsia" w:ascii="仿宋_GB2312" w:hAnsi="仿宋_GB2312" w:eastAsia="仿宋_GB2312" w:cs="仿宋_GB2312"/>
          <w:color w:val="000000"/>
          <w:spacing w:val="-6"/>
          <w:sz w:val="24"/>
          <w:szCs w:val="32"/>
          <w14:ligatures w14:val="none"/>
        </w:rPr>
      </w:pPr>
      <w:r>
        <w:rPr>
          <w:rFonts w:hint="eastAsia" w:ascii="仿宋_GB2312" w:hAnsi="仿宋_GB2312" w:eastAsia="仿宋_GB2312" w:cs="仿宋_GB2312"/>
          <w:color w:val="000000"/>
          <w:spacing w:val="-6"/>
          <w:sz w:val="24"/>
          <w:szCs w:val="32"/>
          <w14:ligatures w14:val="none"/>
        </w:rPr>
        <w:t>本项目采购需求中带有“▲”技术参数及性能配置要求为实质性要求和条件，内容必须满足或优于，否则被视为无效投标。</w:t>
      </w:r>
    </w:p>
    <w:p w14:paraId="5CF962C3">
      <w:pPr>
        <w:numPr>
          <w:ilvl w:val="0"/>
          <w:numId w:val="2"/>
        </w:numPr>
        <w:adjustRightInd w:val="0"/>
        <w:snapToGrid w:val="0"/>
        <w:spacing w:line="520" w:lineRule="exact"/>
        <w:ind w:left="440" w:leftChars="200"/>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采购清单</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3402"/>
        <w:gridCol w:w="1134"/>
        <w:gridCol w:w="1134"/>
      </w:tblGrid>
      <w:tr w14:paraId="3DD6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76" w:type="dxa"/>
            <w:shd w:val="clear" w:color="auto" w:fill="D9E1F4"/>
            <w:vAlign w:val="center"/>
          </w:tcPr>
          <w:p w14:paraId="15EB11A4">
            <w:pPr>
              <w:widowControl/>
              <w:adjustRightInd w:val="0"/>
              <w:snapToGrid w:val="0"/>
              <w:spacing w:after="0" w:line="240" w:lineRule="auto"/>
              <w:jc w:val="center"/>
              <w:rPr>
                <w:rFonts w:hint="eastAsia" w:ascii="仿宋_GB2312" w:hAnsi="仿宋_GB2312" w:eastAsia="仿宋_GB2312" w:cs="仿宋_GB2312"/>
                <w:b/>
                <w:bCs/>
                <w:color w:val="000000"/>
                <w:spacing w:val="-6"/>
                <w:kern w:val="0"/>
                <w:sz w:val="24"/>
                <w:lang w:bidi="ar"/>
                <w14:ligatures w14:val="none"/>
              </w:rPr>
            </w:pPr>
            <w:r>
              <w:rPr>
                <w:rFonts w:hint="eastAsia" w:ascii="仿宋_GB2312" w:hAnsi="仿宋_GB2312" w:eastAsia="仿宋_GB2312" w:cs="仿宋_GB2312"/>
                <w:b/>
                <w:bCs/>
                <w:color w:val="000000"/>
                <w:spacing w:val="-6"/>
                <w:kern w:val="0"/>
                <w:sz w:val="24"/>
                <w:lang w:bidi="ar"/>
                <w14:ligatures w14:val="none"/>
              </w:rPr>
              <w:t>序号</w:t>
            </w:r>
          </w:p>
        </w:tc>
        <w:tc>
          <w:tcPr>
            <w:tcW w:w="3402" w:type="dxa"/>
            <w:shd w:val="clear" w:color="auto" w:fill="D9E1F4"/>
            <w:vAlign w:val="center"/>
          </w:tcPr>
          <w:p w14:paraId="727F566C">
            <w:pPr>
              <w:widowControl/>
              <w:adjustRightInd w:val="0"/>
              <w:snapToGrid w:val="0"/>
              <w:spacing w:after="0" w:line="240" w:lineRule="auto"/>
              <w:jc w:val="center"/>
              <w:rPr>
                <w:rFonts w:hint="eastAsia" w:ascii="仿宋_GB2312" w:hAnsi="仿宋_GB2312" w:eastAsia="仿宋_GB2312" w:cs="仿宋_GB2312"/>
                <w:b/>
                <w:bCs/>
                <w:color w:val="000000"/>
                <w:spacing w:val="-6"/>
                <w:kern w:val="0"/>
                <w:sz w:val="24"/>
                <w:lang w:bidi="ar"/>
                <w14:ligatures w14:val="none"/>
              </w:rPr>
            </w:pPr>
            <w:r>
              <w:rPr>
                <w:rFonts w:hint="eastAsia" w:ascii="仿宋_GB2312" w:hAnsi="仿宋_GB2312" w:eastAsia="仿宋_GB2312" w:cs="仿宋_GB2312"/>
                <w:b/>
                <w:bCs/>
                <w:color w:val="000000"/>
                <w:spacing w:val="-6"/>
                <w:kern w:val="0"/>
                <w:sz w:val="24"/>
                <w:lang w:bidi="ar"/>
                <w14:ligatures w14:val="none"/>
              </w:rPr>
              <w:t>项目</w:t>
            </w:r>
          </w:p>
        </w:tc>
        <w:tc>
          <w:tcPr>
            <w:tcW w:w="1134" w:type="dxa"/>
            <w:shd w:val="clear" w:color="auto" w:fill="D9E1F4"/>
            <w:vAlign w:val="center"/>
          </w:tcPr>
          <w:p w14:paraId="7EF878C0">
            <w:pPr>
              <w:widowControl/>
              <w:adjustRightInd w:val="0"/>
              <w:snapToGrid w:val="0"/>
              <w:spacing w:after="0" w:line="240" w:lineRule="auto"/>
              <w:jc w:val="center"/>
              <w:rPr>
                <w:rFonts w:hint="eastAsia" w:ascii="仿宋_GB2312" w:hAnsi="仿宋_GB2312" w:eastAsia="仿宋_GB2312" w:cs="仿宋_GB2312"/>
                <w:b/>
                <w:bCs/>
                <w:color w:val="000000"/>
                <w:spacing w:val="-6"/>
                <w:kern w:val="0"/>
                <w:sz w:val="24"/>
                <w:lang w:bidi="ar"/>
                <w14:ligatures w14:val="none"/>
              </w:rPr>
            </w:pPr>
            <w:r>
              <w:rPr>
                <w:rFonts w:hint="eastAsia" w:ascii="仿宋_GB2312" w:hAnsi="仿宋_GB2312" w:eastAsia="仿宋_GB2312" w:cs="仿宋_GB2312"/>
                <w:b/>
                <w:bCs/>
                <w:color w:val="000000"/>
                <w:spacing w:val="-6"/>
                <w:kern w:val="0"/>
                <w:sz w:val="24"/>
                <w:lang w:bidi="ar"/>
                <w14:ligatures w14:val="none"/>
              </w:rPr>
              <w:t>数量</w:t>
            </w:r>
          </w:p>
        </w:tc>
        <w:tc>
          <w:tcPr>
            <w:tcW w:w="1134" w:type="dxa"/>
            <w:shd w:val="clear" w:color="auto" w:fill="D9E1F4"/>
            <w:vAlign w:val="center"/>
          </w:tcPr>
          <w:p w14:paraId="74475BF8">
            <w:pPr>
              <w:widowControl/>
              <w:adjustRightInd w:val="0"/>
              <w:snapToGrid w:val="0"/>
              <w:spacing w:after="0" w:line="240" w:lineRule="auto"/>
              <w:jc w:val="center"/>
              <w:rPr>
                <w:rFonts w:hint="eastAsia" w:ascii="仿宋_GB2312" w:hAnsi="仿宋_GB2312" w:eastAsia="仿宋_GB2312" w:cs="仿宋_GB2312"/>
                <w:b/>
                <w:bCs/>
                <w:color w:val="000000"/>
                <w:spacing w:val="-6"/>
                <w:kern w:val="0"/>
                <w:sz w:val="24"/>
                <w:lang w:bidi="ar"/>
                <w14:ligatures w14:val="none"/>
              </w:rPr>
            </w:pPr>
            <w:r>
              <w:rPr>
                <w:rFonts w:hint="eastAsia" w:ascii="仿宋_GB2312" w:hAnsi="仿宋_GB2312" w:eastAsia="仿宋_GB2312" w:cs="仿宋_GB2312"/>
                <w:b/>
                <w:bCs/>
                <w:color w:val="000000"/>
                <w:spacing w:val="-6"/>
                <w:kern w:val="0"/>
                <w:sz w:val="24"/>
                <w:lang w:bidi="ar"/>
                <w14:ligatures w14:val="none"/>
              </w:rPr>
              <w:t>单位</w:t>
            </w:r>
          </w:p>
        </w:tc>
      </w:tr>
      <w:tr w14:paraId="7786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76" w:type="dxa"/>
            <w:vAlign w:val="center"/>
          </w:tcPr>
          <w:p w14:paraId="1EF82F01">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1</w:t>
            </w:r>
          </w:p>
        </w:tc>
        <w:tc>
          <w:tcPr>
            <w:tcW w:w="3402" w:type="dxa"/>
            <w:vAlign w:val="center"/>
          </w:tcPr>
          <w:p w14:paraId="13CB201E">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科研计算GPU工作站</w:t>
            </w:r>
          </w:p>
        </w:tc>
        <w:tc>
          <w:tcPr>
            <w:tcW w:w="1134" w:type="dxa"/>
            <w:vAlign w:val="center"/>
          </w:tcPr>
          <w:p w14:paraId="7CE71C3D">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1</w:t>
            </w:r>
          </w:p>
        </w:tc>
        <w:tc>
          <w:tcPr>
            <w:tcW w:w="1134" w:type="dxa"/>
            <w:vAlign w:val="center"/>
          </w:tcPr>
          <w:p w14:paraId="285B52BA">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台</w:t>
            </w:r>
          </w:p>
        </w:tc>
      </w:tr>
      <w:tr w14:paraId="391A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76" w:type="dxa"/>
            <w:vAlign w:val="center"/>
          </w:tcPr>
          <w:p w14:paraId="0E2B7804">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2</w:t>
            </w:r>
          </w:p>
        </w:tc>
        <w:tc>
          <w:tcPr>
            <w:tcW w:w="3402" w:type="dxa"/>
            <w:vAlign w:val="center"/>
          </w:tcPr>
          <w:p w14:paraId="36774373">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GPU计算环境测试工作站</w:t>
            </w:r>
          </w:p>
        </w:tc>
        <w:tc>
          <w:tcPr>
            <w:tcW w:w="1134" w:type="dxa"/>
            <w:vAlign w:val="center"/>
          </w:tcPr>
          <w:p w14:paraId="69834AB7">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1</w:t>
            </w:r>
          </w:p>
        </w:tc>
        <w:tc>
          <w:tcPr>
            <w:tcW w:w="1134" w:type="dxa"/>
            <w:vAlign w:val="center"/>
          </w:tcPr>
          <w:p w14:paraId="697D49F4">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台</w:t>
            </w:r>
          </w:p>
        </w:tc>
      </w:tr>
      <w:tr w14:paraId="452D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76" w:type="dxa"/>
            <w:vAlign w:val="center"/>
          </w:tcPr>
          <w:p w14:paraId="318A6D9B">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3</w:t>
            </w:r>
          </w:p>
        </w:tc>
        <w:tc>
          <w:tcPr>
            <w:tcW w:w="3402" w:type="dxa"/>
            <w:vAlign w:val="center"/>
          </w:tcPr>
          <w:p w14:paraId="0884215D">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数据传输与中转工作站</w:t>
            </w:r>
          </w:p>
        </w:tc>
        <w:tc>
          <w:tcPr>
            <w:tcW w:w="1134" w:type="dxa"/>
            <w:vAlign w:val="center"/>
          </w:tcPr>
          <w:p w14:paraId="695877F9">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1</w:t>
            </w:r>
          </w:p>
        </w:tc>
        <w:tc>
          <w:tcPr>
            <w:tcW w:w="1134" w:type="dxa"/>
            <w:vAlign w:val="center"/>
          </w:tcPr>
          <w:p w14:paraId="342598DF">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台</w:t>
            </w:r>
          </w:p>
        </w:tc>
      </w:tr>
    </w:tbl>
    <w:p w14:paraId="4CE91152">
      <w:pPr>
        <w:numPr>
          <w:ilvl w:val="0"/>
          <w:numId w:val="2"/>
        </w:numPr>
        <w:adjustRightInd w:val="0"/>
        <w:snapToGrid w:val="0"/>
        <w:spacing w:line="520" w:lineRule="exact"/>
        <w:ind w:left="440" w:leftChars="200"/>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服务参数</w:t>
      </w:r>
    </w:p>
    <w:tbl>
      <w:tblPr>
        <w:tblStyle w:val="8"/>
        <w:tblpPr w:leftFromText="180" w:rightFromText="180" w:vertAnchor="text" w:tblpXSpec="center" w:tblpY="1"/>
        <w:tblOverlap w:val="never"/>
        <w:tblW w:w="96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67"/>
        <w:gridCol w:w="567"/>
        <w:gridCol w:w="567"/>
        <w:gridCol w:w="7908"/>
      </w:tblGrid>
      <w:tr w14:paraId="355A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567" w:type="dxa"/>
            <w:shd w:val="clear" w:color="auto" w:fill="D9E1F4"/>
            <w:tcMar>
              <w:top w:w="60" w:type="dxa"/>
              <w:left w:w="120" w:type="dxa"/>
              <w:bottom w:w="30" w:type="dxa"/>
              <w:right w:w="120" w:type="dxa"/>
            </w:tcMar>
            <w:vAlign w:val="center"/>
          </w:tcPr>
          <w:p w14:paraId="517365E5">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项号</w:t>
            </w:r>
          </w:p>
        </w:tc>
        <w:tc>
          <w:tcPr>
            <w:tcW w:w="567" w:type="dxa"/>
            <w:shd w:val="clear" w:color="auto" w:fill="D9E1F4"/>
            <w:tcMar>
              <w:top w:w="60" w:type="dxa"/>
              <w:left w:w="120" w:type="dxa"/>
              <w:bottom w:w="30" w:type="dxa"/>
              <w:right w:w="120" w:type="dxa"/>
            </w:tcMar>
            <w:vAlign w:val="center"/>
          </w:tcPr>
          <w:p w14:paraId="55E0EF85">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名称</w:t>
            </w:r>
          </w:p>
        </w:tc>
        <w:tc>
          <w:tcPr>
            <w:tcW w:w="567" w:type="dxa"/>
            <w:shd w:val="clear" w:color="auto" w:fill="D9E1F4"/>
            <w:tcMar>
              <w:top w:w="60" w:type="dxa"/>
              <w:left w:w="120" w:type="dxa"/>
              <w:bottom w:w="30" w:type="dxa"/>
              <w:right w:w="120" w:type="dxa"/>
            </w:tcMar>
            <w:vAlign w:val="center"/>
          </w:tcPr>
          <w:p w14:paraId="28D7051D">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数量</w:t>
            </w:r>
          </w:p>
        </w:tc>
        <w:tc>
          <w:tcPr>
            <w:tcW w:w="7908" w:type="dxa"/>
            <w:shd w:val="clear" w:color="auto" w:fill="D9E1F4"/>
            <w:tcMar>
              <w:top w:w="60" w:type="dxa"/>
              <w:left w:w="120" w:type="dxa"/>
              <w:bottom w:w="30" w:type="dxa"/>
              <w:right w:w="120" w:type="dxa"/>
            </w:tcMar>
            <w:vAlign w:val="center"/>
          </w:tcPr>
          <w:p w14:paraId="1DB4ADC4">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服务参数描述</w:t>
            </w:r>
          </w:p>
        </w:tc>
      </w:tr>
      <w:tr w14:paraId="4D13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567" w:type="dxa"/>
            <w:shd w:val="clear" w:color="auto" w:fill="FFFFFF" w:themeFill="background1"/>
            <w:tcMar>
              <w:top w:w="60" w:type="dxa"/>
              <w:left w:w="120" w:type="dxa"/>
              <w:bottom w:w="30" w:type="dxa"/>
              <w:right w:w="120" w:type="dxa"/>
            </w:tcMar>
            <w:vAlign w:val="center"/>
          </w:tcPr>
          <w:p w14:paraId="0EC1D422">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bidi="ar"/>
                <w14:ligatures w14:val="none"/>
              </w:rPr>
            </w:pPr>
            <w:r>
              <w:rPr>
                <w:rFonts w:hint="eastAsia" w:ascii="仿宋_GB2312" w:hAnsi="仿宋_GB2312" w:eastAsia="仿宋_GB2312" w:cs="仿宋_GB2312"/>
                <w:color w:val="000000"/>
                <w:spacing w:val="-6"/>
                <w:kern w:val="0"/>
                <w:sz w:val="24"/>
                <w:lang w:bidi="ar"/>
                <w14:ligatures w14:val="none"/>
              </w:rPr>
              <w:t>1</w:t>
            </w:r>
          </w:p>
        </w:tc>
        <w:tc>
          <w:tcPr>
            <w:tcW w:w="567" w:type="dxa"/>
            <w:shd w:val="clear" w:color="auto" w:fill="FFFFFF" w:themeFill="background1"/>
            <w:tcMar>
              <w:top w:w="60" w:type="dxa"/>
              <w:left w:w="120" w:type="dxa"/>
              <w:bottom w:w="30" w:type="dxa"/>
              <w:right w:w="120" w:type="dxa"/>
            </w:tcMar>
            <w:vAlign w:val="center"/>
          </w:tcPr>
          <w:p w14:paraId="03324AFD">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科研计算GPU工作站</w:t>
            </w:r>
          </w:p>
        </w:tc>
        <w:tc>
          <w:tcPr>
            <w:tcW w:w="567" w:type="dxa"/>
            <w:shd w:val="clear" w:color="auto" w:fill="FFFFFF" w:themeFill="background1"/>
            <w:tcMar>
              <w:top w:w="60" w:type="dxa"/>
              <w:left w:w="120" w:type="dxa"/>
              <w:bottom w:w="30" w:type="dxa"/>
              <w:right w:w="120" w:type="dxa"/>
            </w:tcMar>
            <w:vAlign w:val="center"/>
          </w:tcPr>
          <w:p w14:paraId="4055A053">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bidi="ar"/>
                <w14:ligatures w14:val="none"/>
              </w:rPr>
            </w:pPr>
            <w:r>
              <w:rPr>
                <w:rFonts w:hint="eastAsia" w:ascii="仿宋_GB2312" w:hAnsi="仿宋_GB2312" w:eastAsia="仿宋_GB2312" w:cs="仿宋_GB2312"/>
                <w:color w:val="000000"/>
                <w:spacing w:val="-6"/>
                <w:kern w:val="0"/>
                <w:sz w:val="24"/>
                <w:lang w:bidi="ar"/>
                <w14:ligatures w14:val="none"/>
              </w:rPr>
              <w:t>1台</w:t>
            </w:r>
          </w:p>
        </w:tc>
        <w:tc>
          <w:tcPr>
            <w:tcW w:w="7908" w:type="dxa"/>
            <w:shd w:val="clear" w:color="auto" w:fill="FFFFFF" w:themeFill="background1"/>
            <w:tcMar>
              <w:top w:w="60" w:type="dxa"/>
              <w:left w:w="120" w:type="dxa"/>
              <w:bottom w:w="30" w:type="dxa"/>
              <w:right w:w="120" w:type="dxa"/>
            </w:tcMar>
            <w:vAlign w:val="center"/>
          </w:tcPr>
          <w:p w14:paraId="5B1E5C82">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1.▲处理器：单颗CPU，单CPU具有至少32个物理核心和64个线程，基准时钟频率≥2.0GHz，最高加速时钟频率≥4.0GHz，L3缓存容量≥150MB；</w:t>
            </w:r>
          </w:p>
          <w:p w14:paraId="7A41D82A">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2.▲GPU模块：单节点配置≥2张GPU计算加速模块。单卡显存容量≥70GB，显存支持ECC或等效纠错保护机制，显存带宽≥1300GB/s；FP4有效峰值性能≥2000 TOPS；单块GPU最大板卡功耗≤500W，适配机箱散热与供电设计，支持Linux环境下主流AI、深度学习、图形计算及科学计算框架。</w:t>
            </w:r>
          </w:p>
          <w:p w14:paraId="4EF3C04A">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3.▲内存：配置DDR5 RECC内存，总容量≥256GB，内存配置须充分匹配所投CPU平台的内存通道架构，整机内存条数量不得少于设备中所有CPU的总内存通道数，且每个CPU的各内存通道均应至少配置1条内存。单条内存容量≥32GB，工作频率≥4800 MT/s。</w:t>
            </w:r>
          </w:p>
          <w:p w14:paraId="23E75E3B">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4.▲存储：支持2.5寸热插拔硬盘≥6个；配置不少于2组企业级固态硬盘。系统盘容量≥960GB×2，组建RAID1；数据盘容量≥7.68TB×2，数据盘接口协议应为原生NVME，不得使用转接方案替代。SSD采用TLC或更高级别NAND闪存，支持企业级数据保护机制。960GB级SSD写入寿命≥1PBW，数据盘写入寿命应满足同等级企业级SSD要求。</w:t>
            </w:r>
          </w:p>
          <w:p w14:paraId="76A0B3DB">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5.▲RAID控制器：配备独立硬件RAID控制器，缓存至少支持SATA/SAS 1GB缓存阵列卡，支持RAID 0/1等模式，故障告警及阵列状态监控；</w:t>
            </w:r>
          </w:p>
          <w:p w14:paraId="261703C1">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6.▲供电：配备不低于2000W的1+1冗余供电模块；</w:t>
            </w:r>
          </w:p>
          <w:p w14:paraId="6072EE32">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7.▲网络：配置 ≥2个10GbE SFP+光口和 ≥2个25GbE SFP28光口，含相应光模块及现场部署所需光纤跳线（两根不少于30米，含光纤跳线与交换机连接光模块），与配套交换设备兼容；</w:t>
            </w:r>
          </w:p>
          <w:p w14:paraId="57717555">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8.▲规格：标配原厂导轨，可安装于标准机柜，整机散热、供电和扩展能力须通过原厂兼容性验证；</w:t>
            </w:r>
          </w:p>
          <w:p w14:paraId="53D75011">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9.操作系统：支持安装Red Hat Linux、Ubuntu等指定分发版本Linux操作系统。</w:t>
            </w:r>
          </w:p>
        </w:tc>
      </w:tr>
    </w:tbl>
    <w:p w14:paraId="69B7E1F8">
      <w:pPr>
        <w:spacing w:after="0" w:line="280" w:lineRule="exact"/>
        <w:jc w:val="both"/>
        <w:rPr>
          <w:rFonts w:ascii="Times New Roman" w:hAnsi="Times New Roman" w:eastAsia="宋体" w:cs="宋体"/>
          <w:sz w:val="24"/>
        </w:rPr>
      </w:pPr>
    </w:p>
    <w:tbl>
      <w:tblPr>
        <w:tblStyle w:val="8"/>
        <w:tblpPr w:leftFromText="180" w:rightFromText="180" w:vertAnchor="text" w:tblpXSpec="center" w:tblpY="1"/>
        <w:tblOverlap w:val="never"/>
        <w:tblW w:w="96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67"/>
        <w:gridCol w:w="567"/>
        <w:gridCol w:w="567"/>
        <w:gridCol w:w="7908"/>
      </w:tblGrid>
      <w:tr w14:paraId="67CEE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567" w:type="dxa"/>
            <w:shd w:val="clear" w:color="auto" w:fill="D9E1F4"/>
            <w:tcMar>
              <w:top w:w="60" w:type="dxa"/>
              <w:left w:w="120" w:type="dxa"/>
              <w:bottom w:w="30" w:type="dxa"/>
              <w:right w:w="120" w:type="dxa"/>
            </w:tcMar>
            <w:vAlign w:val="center"/>
          </w:tcPr>
          <w:p w14:paraId="6C9A4D98">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项</w:t>
            </w:r>
            <w:bookmarkStart w:id="1" w:name="_GoBack"/>
            <w:bookmarkEnd w:id="1"/>
            <w:r>
              <w:rPr>
                <w:rFonts w:hint="eastAsia" w:ascii="仿宋_GB2312" w:hAnsi="仿宋_GB2312" w:eastAsia="仿宋_GB2312" w:cs="仿宋_GB2312"/>
                <w:b/>
                <w:bCs/>
                <w:color w:val="000000"/>
                <w:kern w:val="0"/>
                <w:sz w:val="24"/>
                <w:lang w:bidi="ar"/>
              </w:rPr>
              <w:t>号</w:t>
            </w:r>
          </w:p>
        </w:tc>
        <w:tc>
          <w:tcPr>
            <w:tcW w:w="567" w:type="dxa"/>
            <w:shd w:val="clear" w:color="auto" w:fill="D9E1F4"/>
            <w:tcMar>
              <w:top w:w="60" w:type="dxa"/>
              <w:left w:w="120" w:type="dxa"/>
              <w:bottom w:w="30" w:type="dxa"/>
              <w:right w:w="120" w:type="dxa"/>
            </w:tcMar>
            <w:vAlign w:val="center"/>
          </w:tcPr>
          <w:p w14:paraId="5492B577">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名称</w:t>
            </w:r>
          </w:p>
        </w:tc>
        <w:tc>
          <w:tcPr>
            <w:tcW w:w="567" w:type="dxa"/>
            <w:shd w:val="clear" w:color="auto" w:fill="D9E1F4"/>
            <w:tcMar>
              <w:top w:w="60" w:type="dxa"/>
              <w:left w:w="120" w:type="dxa"/>
              <w:bottom w:w="30" w:type="dxa"/>
              <w:right w:w="120" w:type="dxa"/>
            </w:tcMar>
            <w:vAlign w:val="center"/>
          </w:tcPr>
          <w:p w14:paraId="061FCF58">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数量</w:t>
            </w:r>
          </w:p>
        </w:tc>
        <w:tc>
          <w:tcPr>
            <w:tcW w:w="7908" w:type="dxa"/>
            <w:shd w:val="clear" w:color="auto" w:fill="D9E1F4"/>
            <w:tcMar>
              <w:top w:w="60" w:type="dxa"/>
              <w:left w:w="120" w:type="dxa"/>
              <w:bottom w:w="30" w:type="dxa"/>
              <w:right w:w="120" w:type="dxa"/>
            </w:tcMar>
            <w:vAlign w:val="center"/>
          </w:tcPr>
          <w:p w14:paraId="6C6332E2">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服务参数描述</w:t>
            </w:r>
          </w:p>
        </w:tc>
      </w:tr>
      <w:tr w14:paraId="0B8F6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567" w:type="dxa"/>
            <w:shd w:val="clear" w:color="auto" w:fill="FFFFFF" w:themeFill="background1"/>
            <w:tcMar>
              <w:top w:w="60" w:type="dxa"/>
              <w:left w:w="120" w:type="dxa"/>
              <w:bottom w:w="30" w:type="dxa"/>
              <w:right w:w="120" w:type="dxa"/>
            </w:tcMar>
            <w:vAlign w:val="center"/>
          </w:tcPr>
          <w:p w14:paraId="233E8023">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bidi="ar"/>
                <w14:ligatures w14:val="none"/>
              </w:rPr>
            </w:pPr>
            <w:r>
              <w:rPr>
                <w:rFonts w:hint="eastAsia" w:ascii="仿宋_GB2312" w:hAnsi="仿宋_GB2312" w:eastAsia="仿宋_GB2312" w:cs="仿宋_GB2312"/>
                <w:color w:val="000000"/>
                <w:spacing w:val="-6"/>
                <w:kern w:val="0"/>
                <w:sz w:val="24"/>
                <w:lang w:bidi="ar"/>
                <w14:ligatures w14:val="none"/>
              </w:rPr>
              <w:t>2</w:t>
            </w:r>
          </w:p>
        </w:tc>
        <w:tc>
          <w:tcPr>
            <w:tcW w:w="567" w:type="dxa"/>
            <w:shd w:val="clear" w:color="auto" w:fill="FFFFFF" w:themeFill="background1"/>
            <w:tcMar>
              <w:top w:w="60" w:type="dxa"/>
              <w:left w:w="120" w:type="dxa"/>
              <w:bottom w:w="30" w:type="dxa"/>
              <w:right w:w="120" w:type="dxa"/>
            </w:tcMar>
            <w:vAlign w:val="center"/>
          </w:tcPr>
          <w:p w14:paraId="5FB164D8">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sz w:val="24"/>
              </w:rPr>
              <w:t>GPU计算环境测试工作站</w:t>
            </w:r>
          </w:p>
        </w:tc>
        <w:tc>
          <w:tcPr>
            <w:tcW w:w="567" w:type="dxa"/>
            <w:shd w:val="clear" w:color="auto" w:fill="FFFFFF" w:themeFill="background1"/>
            <w:tcMar>
              <w:top w:w="60" w:type="dxa"/>
              <w:left w:w="120" w:type="dxa"/>
              <w:bottom w:w="30" w:type="dxa"/>
              <w:right w:w="120" w:type="dxa"/>
            </w:tcMar>
            <w:vAlign w:val="center"/>
          </w:tcPr>
          <w:p w14:paraId="37EAE785">
            <w:pPr>
              <w:widowControl/>
              <w:adjustRightInd w:val="0"/>
              <w:snapToGrid w:val="0"/>
              <w:spacing w:after="0" w:line="240" w:lineRule="auto"/>
              <w:jc w:val="center"/>
              <w:textAlignment w:val="center"/>
              <w:rPr>
                <w:rFonts w:hint="eastAsia" w:ascii="仿宋_GB2312" w:hAnsi="仿宋_GB2312" w:eastAsia="仿宋_GB2312" w:cs="仿宋_GB2312"/>
                <w:color w:val="000000"/>
                <w:spacing w:val="-6"/>
                <w:kern w:val="0"/>
                <w:sz w:val="24"/>
                <w:lang w:bidi="ar"/>
                <w14:ligatures w14:val="none"/>
              </w:rPr>
            </w:pPr>
            <w:r>
              <w:rPr>
                <w:rFonts w:hint="eastAsia" w:ascii="仿宋_GB2312" w:hAnsi="仿宋_GB2312" w:eastAsia="仿宋_GB2312" w:cs="仿宋_GB2312"/>
                <w:color w:val="000000"/>
                <w:spacing w:val="-6"/>
                <w:kern w:val="0"/>
                <w:sz w:val="24"/>
                <w:lang w:bidi="ar"/>
                <w14:ligatures w14:val="none"/>
              </w:rPr>
              <w:t>1台</w:t>
            </w:r>
          </w:p>
        </w:tc>
        <w:tc>
          <w:tcPr>
            <w:tcW w:w="7908" w:type="dxa"/>
            <w:shd w:val="clear" w:color="auto" w:fill="FFFFFF" w:themeFill="background1"/>
            <w:tcMar>
              <w:top w:w="60" w:type="dxa"/>
              <w:left w:w="120" w:type="dxa"/>
              <w:bottom w:w="30" w:type="dxa"/>
              <w:right w:w="120" w:type="dxa"/>
            </w:tcMar>
            <w:vAlign w:val="center"/>
          </w:tcPr>
          <w:p w14:paraId="16EEB3AC">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1.▲处理器：桌面级CPU，单CPU具有至少24个物理核心，各核心的基础频率均≥3.2GHz，最高加速时钟频率≥5.2GHz，L3缓存容量≥30MB，具备集成显示功能；</w:t>
            </w:r>
          </w:p>
          <w:p w14:paraId="75954516">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2.▲GPU模块：配置1张GPU计算加速模块。单卡显存容量≥24GB，显存支持ECC或等效纠错保护机制，显存带宽≥600GB/s；与科研计算GPU工作站的GPU模块采用相同架构；具有不少于2个DP2.0或以上规格的显示输出接口；适配机箱散热与供电设计，支持Linux环境下主流AI、深度学习、图形计算及科学计算框架。</w:t>
            </w:r>
          </w:p>
          <w:p w14:paraId="5124D936">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3.▲内存：配置DDR5 内存，总容量≥64GB，工作频率≥6000 MT/s。</w:t>
            </w:r>
          </w:p>
          <w:p w14:paraId="077A4D7A">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4.▲存储：系统硬盘容量≥1TB，数据硬盘容量≥2TB，采用 NVMe 接口协议；NAND 闪存颗粒应为 TLC 或更高等级类型；每1TB写入寿命≥600TBW；品牌应具备原厂颗粒供应能力。</w:t>
            </w:r>
          </w:p>
          <w:p w14:paraId="501AF032">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5.▲接口：具备 DisplayPort 和 HDMI 数字显示接口，支持双屏显示输出；配置2.5Gbps或以上规格以太网接口；前后置 USB 接口数量不少于5个，其中机箱前后应各包含不少于1个USB 3.2 Gen 1 或以上规格高速接口。</w:t>
            </w:r>
          </w:p>
          <w:p w14:paraId="7B68DBFB">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6.▲电源：电源功率输出功率不低于1000W，采用intel ATX 3.1或更高设计规范，80PLUS金牌或更高等级认证，满足整机稳定运行及合理的外设连接扩展需求。</w:t>
            </w:r>
          </w:p>
          <w:p w14:paraId="511567D2">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7.▲散热和机箱：CPU采用风冷散热，散热器塔体热管≥6，散热器风扇尺寸≥12cm，最高转速不超过2500rpm；整机采用塔式机箱，机箱结构设计合理，机箱散热良好，有合理设计风道，内部空间满足硬盘、内存等部件维护及扩展需求。</w:t>
            </w:r>
          </w:p>
          <w:p w14:paraId="60F4C6E1">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8.操作系统：支持安装Red Hat Linux、Ubuntu等指定分发版本Linux操作系统和windows 11操作系统。</w:t>
            </w:r>
          </w:p>
          <w:p w14:paraId="4FD7B5D1">
            <w:pPr>
              <w:widowControl/>
              <w:adjustRightInd w:val="0"/>
              <w:snapToGrid w:val="0"/>
              <w:spacing w:line="240" w:lineRule="auto"/>
              <w:textAlignment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9.▲附件：配置1套键盘鼠标和1台</w:t>
            </w:r>
            <w:r>
              <w:rPr>
                <w:rFonts w:ascii="Times New Roman" w:hAnsi="Times New Roman" w:eastAsia="宋体" w:cs="宋体"/>
                <w:sz w:val="24"/>
              </w:rPr>
              <w:t>交互显示终端</w:t>
            </w:r>
            <w:r>
              <w:rPr>
                <w:rFonts w:hint="eastAsia" w:ascii="仿宋_GB2312" w:hAnsi="仿宋_GB2312" w:eastAsia="仿宋_GB2312" w:cs="仿宋_GB2312"/>
                <w:color w:val="000000"/>
                <w:spacing w:val="-6"/>
                <w:kern w:val="0"/>
                <w:sz w:val="24"/>
                <w:lang w:val="en-GB" w:bidi="ar"/>
                <w14:ligatures w14:val="none"/>
              </w:rPr>
              <w:t>，规格</w:t>
            </w:r>
            <w:r>
              <w:rPr>
                <w:rFonts w:ascii="Times New Roman" w:hAnsi="Times New Roman" w:eastAsia="宋体" w:cs="宋体"/>
                <w:sz w:val="24"/>
              </w:rPr>
              <w:t>≥</w:t>
            </w:r>
            <w:r>
              <w:rPr>
                <w:rFonts w:hint="eastAsia" w:ascii="仿宋_GB2312" w:hAnsi="仿宋_GB2312" w:eastAsia="仿宋_GB2312" w:cs="仿宋_GB2312"/>
                <w:color w:val="000000"/>
                <w:spacing w:val="-6"/>
                <w:kern w:val="0"/>
                <w:sz w:val="24"/>
                <w:lang w:val="en-GB" w:bidi="ar"/>
                <w14:ligatures w14:val="none"/>
              </w:rPr>
              <w:t>27英寸IPS面板，</w:t>
            </w:r>
            <w:r>
              <w:rPr>
                <w:rFonts w:ascii="仿宋_GB2312" w:hAnsi="仿宋_GB2312" w:eastAsia="仿宋_GB2312" w:cs="仿宋_GB2312"/>
                <w:color w:val="000000"/>
                <w:spacing w:val="-6"/>
                <w:kern w:val="0"/>
                <w:sz w:val="24"/>
                <w:lang w:val="en-GB" w:bidi="ar"/>
                <w14:ligatures w14:val="none"/>
              </w:rPr>
              <w:t>物理分辨率≥3840×2160，刷新率≥60Hz</w:t>
            </w:r>
            <w:r>
              <w:rPr>
                <w:rFonts w:hint="eastAsia" w:ascii="仿宋_GB2312" w:hAnsi="仿宋_GB2312" w:eastAsia="仿宋_GB2312" w:cs="仿宋_GB2312"/>
                <w:color w:val="000000"/>
                <w:spacing w:val="-6"/>
                <w:kern w:val="0"/>
                <w:sz w:val="24"/>
                <w:lang w:val="en-GB" w:bidi="ar"/>
                <w14:ligatures w14:val="none"/>
              </w:rPr>
              <w:t>，sRGB色域</w:t>
            </w:r>
            <w:r>
              <w:rPr>
                <w:rFonts w:ascii="仿宋_GB2312" w:hAnsi="仿宋_GB2312" w:eastAsia="仿宋_GB2312" w:cs="仿宋_GB2312"/>
                <w:color w:val="000000"/>
                <w:spacing w:val="-6"/>
                <w:kern w:val="0"/>
                <w:sz w:val="24"/>
                <w:lang w:val="en-GB" w:bidi="ar"/>
                <w14:ligatures w14:val="none"/>
              </w:rPr>
              <w:t>≥</w:t>
            </w:r>
            <w:r>
              <w:rPr>
                <w:rFonts w:hint="eastAsia" w:ascii="仿宋_GB2312" w:hAnsi="仿宋_GB2312" w:eastAsia="仿宋_GB2312" w:cs="仿宋_GB2312"/>
                <w:color w:val="000000"/>
                <w:spacing w:val="-6"/>
                <w:kern w:val="0"/>
                <w:sz w:val="24"/>
                <w:lang w:val="en-GB" w:bidi="ar"/>
                <w14:ligatures w14:val="none"/>
              </w:rPr>
              <w:t>99%，内置电源，支持VESA安装。</w:t>
            </w:r>
          </w:p>
        </w:tc>
      </w:tr>
    </w:tbl>
    <w:p w14:paraId="44996841">
      <w:pPr>
        <w:spacing w:line="300" w:lineRule="auto"/>
        <w:jc w:val="both"/>
        <w:rPr>
          <w:rFonts w:ascii="Times New Roman" w:hAnsi="Times New Roman" w:eastAsia="宋体" w:cs="宋体"/>
          <w:sz w:val="24"/>
        </w:rPr>
      </w:pPr>
    </w:p>
    <w:tbl>
      <w:tblPr>
        <w:tblStyle w:val="8"/>
        <w:tblpPr w:leftFromText="180" w:rightFromText="180" w:vertAnchor="text" w:tblpXSpec="center" w:tblpY="1"/>
        <w:tblOverlap w:val="never"/>
        <w:tblW w:w="96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67"/>
        <w:gridCol w:w="567"/>
        <w:gridCol w:w="567"/>
        <w:gridCol w:w="7908"/>
      </w:tblGrid>
      <w:tr w14:paraId="0FBA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567" w:type="dxa"/>
            <w:shd w:val="clear" w:color="auto" w:fill="D9E1F4"/>
            <w:tcMar>
              <w:top w:w="60" w:type="dxa"/>
              <w:left w:w="120" w:type="dxa"/>
              <w:bottom w:w="30" w:type="dxa"/>
              <w:right w:w="120" w:type="dxa"/>
            </w:tcMar>
            <w:vAlign w:val="center"/>
          </w:tcPr>
          <w:p w14:paraId="43819DD1">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项号</w:t>
            </w:r>
          </w:p>
        </w:tc>
        <w:tc>
          <w:tcPr>
            <w:tcW w:w="567" w:type="dxa"/>
            <w:shd w:val="clear" w:color="auto" w:fill="D9E1F4"/>
            <w:tcMar>
              <w:top w:w="60" w:type="dxa"/>
              <w:left w:w="120" w:type="dxa"/>
              <w:bottom w:w="30" w:type="dxa"/>
              <w:right w:w="120" w:type="dxa"/>
            </w:tcMar>
            <w:vAlign w:val="center"/>
          </w:tcPr>
          <w:p w14:paraId="4879833E">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名称</w:t>
            </w:r>
          </w:p>
        </w:tc>
        <w:tc>
          <w:tcPr>
            <w:tcW w:w="567" w:type="dxa"/>
            <w:shd w:val="clear" w:color="auto" w:fill="D9E1F4"/>
            <w:tcMar>
              <w:top w:w="60" w:type="dxa"/>
              <w:left w:w="120" w:type="dxa"/>
              <w:bottom w:w="30" w:type="dxa"/>
              <w:right w:w="120" w:type="dxa"/>
            </w:tcMar>
            <w:vAlign w:val="center"/>
          </w:tcPr>
          <w:p w14:paraId="30D6D1BE">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数量</w:t>
            </w:r>
          </w:p>
        </w:tc>
        <w:tc>
          <w:tcPr>
            <w:tcW w:w="7908" w:type="dxa"/>
            <w:shd w:val="clear" w:color="auto" w:fill="D9E1F4"/>
            <w:tcMar>
              <w:top w:w="60" w:type="dxa"/>
              <w:left w:w="120" w:type="dxa"/>
              <w:bottom w:w="30" w:type="dxa"/>
              <w:right w:w="120" w:type="dxa"/>
            </w:tcMar>
            <w:vAlign w:val="center"/>
          </w:tcPr>
          <w:p w14:paraId="31C1B7C8">
            <w:pPr>
              <w:adjustRightInd w:val="0"/>
              <w:snapToGrid w:val="0"/>
              <w:spacing w:after="0" w:line="240" w:lineRule="auto"/>
              <w:jc w:val="center"/>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服务参数描述</w:t>
            </w:r>
          </w:p>
        </w:tc>
      </w:tr>
      <w:tr w14:paraId="622F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567" w:type="dxa"/>
            <w:shd w:val="clear" w:color="auto" w:fill="FFFFFF" w:themeFill="background1"/>
            <w:tcMar>
              <w:top w:w="60" w:type="dxa"/>
              <w:left w:w="120" w:type="dxa"/>
              <w:bottom w:w="30" w:type="dxa"/>
              <w:right w:w="120" w:type="dxa"/>
            </w:tcMar>
            <w:vAlign w:val="center"/>
          </w:tcPr>
          <w:p w14:paraId="5D1E8FC2">
            <w:pPr>
              <w:adjustRightInd w:val="0"/>
              <w:snapToGrid w:val="0"/>
              <w:spacing w:after="0" w:line="240" w:lineRule="auto"/>
              <w:jc w:val="center"/>
              <w:rPr>
                <w:rFonts w:hint="eastAsia" w:ascii="仿宋_GB2312" w:hAnsi="仿宋_GB2312" w:eastAsia="仿宋_GB2312" w:cs="仿宋_GB2312"/>
                <w:color w:val="000000"/>
                <w:spacing w:val="-6"/>
                <w:kern w:val="0"/>
                <w:sz w:val="24"/>
                <w:lang w:bidi="ar"/>
                <w14:ligatures w14:val="none"/>
              </w:rPr>
            </w:pPr>
            <w:r>
              <w:rPr>
                <w:rFonts w:hint="eastAsia" w:ascii="仿宋_GB2312" w:hAnsi="仿宋_GB2312" w:eastAsia="仿宋_GB2312" w:cs="仿宋_GB2312"/>
                <w:color w:val="000000"/>
                <w:spacing w:val="-6"/>
                <w:kern w:val="0"/>
                <w:sz w:val="24"/>
                <w:lang w:bidi="ar"/>
                <w14:ligatures w14:val="none"/>
              </w:rPr>
              <w:t>3</w:t>
            </w:r>
          </w:p>
        </w:tc>
        <w:tc>
          <w:tcPr>
            <w:tcW w:w="567" w:type="dxa"/>
            <w:shd w:val="clear" w:color="auto" w:fill="FFFFFF" w:themeFill="background1"/>
            <w:tcMar>
              <w:top w:w="60" w:type="dxa"/>
              <w:left w:w="120" w:type="dxa"/>
              <w:bottom w:w="30" w:type="dxa"/>
              <w:right w:w="120" w:type="dxa"/>
            </w:tcMar>
            <w:vAlign w:val="center"/>
          </w:tcPr>
          <w:p w14:paraId="59E2F75F">
            <w:pPr>
              <w:adjustRightInd w:val="0"/>
              <w:snapToGrid w:val="0"/>
              <w:spacing w:after="0" w:line="240" w:lineRule="auto"/>
              <w:jc w:val="center"/>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sz w:val="24"/>
              </w:rPr>
              <w:t>数据传输与中转工作站</w:t>
            </w:r>
          </w:p>
        </w:tc>
        <w:tc>
          <w:tcPr>
            <w:tcW w:w="567" w:type="dxa"/>
            <w:shd w:val="clear" w:color="auto" w:fill="FFFFFF" w:themeFill="background1"/>
            <w:tcMar>
              <w:top w:w="60" w:type="dxa"/>
              <w:left w:w="120" w:type="dxa"/>
              <w:bottom w:w="30" w:type="dxa"/>
              <w:right w:w="120" w:type="dxa"/>
            </w:tcMar>
            <w:vAlign w:val="center"/>
          </w:tcPr>
          <w:p w14:paraId="5680C131">
            <w:pPr>
              <w:adjustRightInd w:val="0"/>
              <w:snapToGrid w:val="0"/>
              <w:spacing w:after="0" w:line="240" w:lineRule="auto"/>
              <w:jc w:val="center"/>
              <w:rPr>
                <w:rFonts w:hint="eastAsia" w:ascii="仿宋_GB2312" w:hAnsi="仿宋_GB2312" w:eastAsia="仿宋_GB2312" w:cs="仿宋_GB2312"/>
                <w:color w:val="000000"/>
                <w:spacing w:val="-6"/>
                <w:kern w:val="0"/>
                <w:sz w:val="24"/>
                <w:lang w:bidi="ar"/>
                <w14:ligatures w14:val="none"/>
              </w:rPr>
            </w:pPr>
            <w:r>
              <w:rPr>
                <w:rFonts w:hint="eastAsia" w:ascii="仿宋_GB2312" w:hAnsi="仿宋_GB2312" w:eastAsia="仿宋_GB2312" w:cs="仿宋_GB2312"/>
                <w:color w:val="000000"/>
                <w:spacing w:val="-6"/>
                <w:kern w:val="0"/>
                <w:sz w:val="24"/>
                <w:lang w:bidi="ar"/>
                <w14:ligatures w14:val="none"/>
              </w:rPr>
              <w:t>1台</w:t>
            </w:r>
          </w:p>
        </w:tc>
        <w:tc>
          <w:tcPr>
            <w:tcW w:w="7908" w:type="dxa"/>
            <w:shd w:val="clear" w:color="auto" w:fill="FFFFFF" w:themeFill="background1"/>
            <w:tcMar>
              <w:top w:w="60" w:type="dxa"/>
              <w:left w:w="120" w:type="dxa"/>
              <w:bottom w:w="30" w:type="dxa"/>
              <w:right w:w="120" w:type="dxa"/>
            </w:tcMar>
            <w:vAlign w:val="center"/>
          </w:tcPr>
          <w:p w14:paraId="271D6FFC">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1.▲处理器：桌面级CPU，单CPU具有至少24个物理核心，各核心的基础频率均≥3.2GHz，最高加速时钟频率≥5.2GHz，L3缓存容量≥30MB，具备集成显示功能；</w:t>
            </w:r>
          </w:p>
          <w:p w14:paraId="687AFCA9">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2.▲内存：配置DDR5 内存，总容量≥64GB，工作频率≥6000 MT/s。</w:t>
            </w:r>
          </w:p>
          <w:p w14:paraId="69369911">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3.▲系统硬盘：系统硬盘1块，容量≥1TB，采用 NVMe 接口协议；NAND 闪存颗粒应为 TLC 或更高等级类型；每1TB写入寿命≥600TBW；品牌应具备原厂颗粒供应能力。</w:t>
            </w:r>
          </w:p>
          <w:p w14:paraId="73D8B4C7">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4.▲存储硬盘：企业级固态硬盘1块，容量≥3.84TB，采用 NVMe 接口协议，NAND 闪存颗粒应为 TLC 或更高等级类型，写入寿命≥4PB；两块20TB企业级机械硬盘通过硬件RAID控制器组建RAID1，单块硬盘容量≥20TB，转速≥7200RPM，缓存≥512MB，采用CMR或更优记录技术，平均故障间隔时间 MTBF≥250万小时；</w:t>
            </w:r>
          </w:p>
          <w:p w14:paraId="3A82E866">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5.▲RAID控制器：配备独立硬件RAID控制器，缓存至少支持SATA 1GB缓存阵列卡，支持RAID 0/1等模式，故障告警及阵列状态监控；</w:t>
            </w:r>
          </w:p>
          <w:p w14:paraId="04408359">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6.▲网络：配置≥2个10GbE SFP+光口，含相应光模块及现场部署所需光纤跳线（两根不少于30米，含光纤跳线与交换机连接光模块），与交换设备兼容；</w:t>
            </w:r>
          </w:p>
          <w:p w14:paraId="5BD981C8">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7.▲接口：具备 DisplayPort 和 HDMI 数字显示接口，支持双屏显示输出；配置2.5Gbps或以上规格以太网接口；前后置 USB 接口数量不少于5个，其中机箱前后应各包含不少于1个USB 3.2 Gen 1 或以上规格高速接口。</w:t>
            </w:r>
          </w:p>
          <w:p w14:paraId="3859F94B">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8.▲电源：电源功率输出功率不低于1000W，采用intel ATX 3.1或更高设计规范，80PLUS金牌或更高等级认证，满足整机稳定运行及合理的外设连接扩展需求。</w:t>
            </w:r>
          </w:p>
          <w:p w14:paraId="277454CB">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9.▲散热和机箱：CPU采用风冷散热，散热器塔体热管≥6，散热器风扇尺寸≥12cm，最高转速不超过2500rpm；整机采用塔式机箱，机箱结构设计合理，机箱散热良好，有合理设计风道，内部空间满足硬盘、内存等部件维护及扩展需求。</w:t>
            </w:r>
          </w:p>
          <w:p w14:paraId="7540A0CB">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10.操作系统：支持安装Red Hat Linux、Ubuntu等指定分发版本Linux操作系统和windows 11操作系统。</w:t>
            </w:r>
          </w:p>
          <w:p w14:paraId="609418A6">
            <w:pPr>
              <w:adjustRightInd w:val="0"/>
              <w:snapToGrid w:val="0"/>
              <w:spacing w:line="240" w:lineRule="auto"/>
              <w:rPr>
                <w:rFonts w:hint="eastAsia" w:ascii="仿宋_GB2312" w:hAnsi="仿宋_GB2312" w:eastAsia="仿宋_GB2312" w:cs="仿宋_GB2312"/>
                <w:color w:val="000000"/>
                <w:spacing w:val="-6"/>
                <w:kern w:val="0"/>
                <w:sz w:val="24"/>
                <w:lang w:val="en-GB" w:bidi="ar"/>
                <w14:ligatures w14:val="none"/>
              </w:rPr>
            </w:pPr>
            <w:r>
              <w:rPr>
                <w:rFonts w:hint="eastAsia" w:ascii="仿宋_GB2312" w:hAnsi="仿宋_GB2312" w:eastAsia="仿宋_GB2312" w:cs="仿宋_GB2312"/>
                <w:color w:val="000000"/>
                <w:spacing w:val="-6"/>
                <w:kern w:val="0"/>
                <w:sz w:val="24"/>
                <w:lang w:val="en-GB" w:bidi="ar"/>
                <w14:ligatures w14:val="none"/>
              </w:rPr>
              <w:t>11.▲附件：配置1套键盘鼠标和1台</w:t>
            </w:r>
            <w:r>
              <w:rPr>
                <w:rFonts w:ascii="Times New Roman" w:hAnsi="Times New Roman" w:eastAsia="宋体" w:cs="宋体"/>
                <w:sz w:val="24"/>
              </w:rPr>
              <w:t>交互显示终端</w:t>
            </w:r>
            <w:r>
              <w:rPr>
                <w:rFonts w:hint="eastAsia" w:ascii="仿宋_GB2312" w:hAnsi="仿宋_GB2312" w:eastAsia="仿宋_GB2312" w:cs="仿宋_GB2312"/>
                <w:color w:val="000000"/>
                <w:spacing w:val="-6"/>
                <w:kern w:val="0"/>
                <w:sz w:val="24"/>
                <w:lang w:val="en-GB" w:bidi="ar"/>
                <w14:ligatures w14:val="none"/>
              </w:rPr>
              <w:t>，规格</w:t>
            </w:r>
            <w:r>
              <w:rPr>
                <w:rFonts w:ascii="Times New Roman" w:hAnsi="Times New Roman" w:eastAsia="宋体" w:cs="宋体"/>
                <w:sz w:val="24"/>
              </w:rPr>
              <w:t>≥</w:t>
            </w:r>
            <w:r>
              <w:rPr>
                <w:rFonts w:hint="eastAsia" w:ascii="仿宋_GB2312" w:hAnsi="仿宋_GB2312" w:eastAsia="仿宋_GB2312" w:cs="仿宋_GB2312"/>
                <w:color w:val="000000"/>
                <w:spacing w:val="-6"/>
                <w:kern w:val="0"/>
                <w:sz w:val="24"/>
                <w:lang w:val="en-GB" w:bidi="ar"/>
                <w14:ligatures w14:val="none"/>
              </w:rPr>
              <w:t>27英寸IPS面板，</w:t>
            </w:r>
            <w:r>
              <w:rPr>
                <w:rFonts w:ascii="仿宋_GB2312" w:hAnsi="仿宋_GB2312" w:eastAsia="仿宋_GB2312" w:cs="仿宋_GB2312"/>
                <w:color w:val="000000"/>
                <w:spacing w:val="-6"/>
                <w:kern w:val="0"/>
                <w:sz w:val="24"/>
                <w:lang w:val="en-GB" w:bidi="ar"/>
                <w14:ligatures w14:val="none"/>
              </w:rPr>
              <w:t>物理分辨率≥3840×2160，刷新率≥60Hz</w:t>
            </w:r>
            <w:r>
              <w:rPr>
                <w:rFonts w:hint="eastAsia" w:ascii="仿宋_GB2312" w:hAnsi="仿宋_GB2312" w:eastAsia="仿宋_GB2312" w:cs="仿宋_GB2312"/>
                <w:color w:val="000000"/>
                <w:spacing w:val="-6"/>
                <w:kern w:val="0"/>
                <w:sz w:val="24"/>
                <w:lang w:val="en-GB" w:bidi="ar"/>
                <w14:ligatures w14:val="none"/>
              </w:rPr>
              <w:t>，sRGB色域</w:t>
            </w:r>
            <w:r>
              <w:rPr>
                <w:rFonts w:ascii="仿宋_GB2312" w:hAnsi="仿宋_GB2312" w:eastAsia="仿宋_GB2312" w:cs="仿宋_GB2312"/>
                <w:color w:val="000000"/>
                <w:spacing w:val="-6"/>
                <w:kern w:val="0"/>
                <w:sz w:val="24"/>
                <w:lang w:val="en-GB" w:bidi="ar"/>
                <w14:ligatures w14:val="none"/>
              </w:rPr>
              <w:t>≥</w:t>
            </w:r>
            <w:r>
              <w:rPr>
                <w:rFonts w:hint="eastAsia" w:ascii="仿宋_GB2312" w:hAnsi="仿宋_GB2312" w:eastAsia="仿宋_GB2312" w:cs="仿宋_GB2312"/>
                <w:color w:val="000000"/>
                <w:spacing w:val="-6"/>
                <w:kern w:val="0"/>
                <w:sz w:val="24"/>
                <w:lang w:val="en-GB" w:bidi="ar"/>
                <w14:ligatures w14:val="none"/>
              </w:rPr>
              <w:t>99%，内置电源，支持VESA安装。</w:t>
            </w:r>
          </w:p>
        </w:tc>
      </w:tr>
    </w:tbl>
    <w:p w14:paraId="301843FD">
      <w:pPr>
        <w:numPr>
          <w:ilvl w:val="0"/>
          <w:numId w:val="2"/>
        </w:numPr>
        <w:adjustRightInd w:val="0"/>
        <w:snapToGrid w:val="0"/>
        <w:spacing w:line="520" w:lineRule="exact"/>
        <w:ind w:left="440" w:leftChars="200"/>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其他要求</w:t>
      </w:r>
    </w:p>
    <w:p w14:paraId="31A6FA7F">
      <w:pPr>
        <w:pStyle w:val="15"/>
        <w:numPr>
          <w:ilvl w:val="0"/>
          <w:numId w:val="3"/>
        </w:numPr>
        <w:spacing w:line="240" w:lineRule="auto"/>
        <w:ind w:firstLineChars="0"/>
        <w:jc w:val="both"/>
        <w:rPr>
          <w:rFonts w:hint="eastAsia" w:ascii="仿宋_GB2312" w:hAnsi="仿宋_GB2312" w:eastAsia="仿宋_GB2312" w:cs="仿宋_GB2312"/>
          <w:sz w:val="24"/>
        </w:rPr>
      </w:pPr>
      <w:r>
        <w:rPr>
          <w:rFonts w:hint="eastAsia" w:ascii="仿宋_GB2312" w:hAnsi="仿宋_GB2312" w:eastAsia="仿宋_GB2312" w:cs="仿宋_GB2312"/>
          <w:sz w:val="24"/>
        </w:rPr>
        <w:t>▲兼容性：设备能够兼容采购人现有科研计算平台环境，支持接入现有计算设备、存储设备、网络交换设备，并与现有平台实现互联互通。</w:t>
      </w:r>
    </w:p>
    <w:p w14:paraId="301843FE">
      <w:pPr>
        <w:pStyle w:val="15"/>
        <w:numPr>
          <w:ilvl w:val="0"/>
          <w:numId w:val="3"/>
        </w:numPr>
        <w:spacing w:line="240" w:lineRule="auto"/>
        <w:ind w:firstLineChars="0"/>
        <w:jc w:val="both"/>
        <w:rPr>
          <w:rFonts w:hint="eastAsia" w:ascii="仿宋_GB2312" w:hAnsi="仿宋_GB2312" w:eastAsia="仿宋_GB2312" w:cs="仿宋_GB2312"/>
          <w:sz w:val="24"/>
        </w:rPr>
      </w:pPr>
      <w:r>
        <w:rPr>
          <w:rFonts w:hint="eastAsia" w:ascii="仿宋_GB2312" w:hAnsi="仿宋_GB2312" w:eastAsia="仿宋_GB2312" w:cs="仿宋_GB2312"/>
          <w:sz w:val="24"/>
        </w:rPr>
        <w:t>供应商须根据采购人现有设备环境和业务需求完成兼容性适配、联调测试和必要的配置优化，确保新增设备可纳入现有科研计算资源统一管理和使用。</w:t>
      </w:r>
    </w:p>
    <w:p w14:paraId="301843FF">
      <w:pPr>
        <w:numPr>
          <w:ilvl w:val="0"/>
          <w:numId w:val="3"/>
        </w:numPr>
        <w:spacing w:line="240" w:lineRule="auto"/>
        <w:jc w:val="both"/>
        <w:rPr>
          <w:rFonts w:hint="eastAsia" w:ascii="仿宋_GB2312" w:hAnsi="仿宋_GB2312" w:eastAsia="仿宋_GB2312" w:cs="仿宋_GB2312"/>
          <w:sz w:val="24"/>
        </w:rPr>
      </w:pPr>
      <w:r>
        <w:rPr>
          <w:rFonts w:hint="eastAsia" w:ascii="仿宋_GB2312" w:hAnsi="仿宋_GB2312" w:eastAsia="仿宋_GB2312" w:cs="仿宋_GB2312"/>
          <w:sz w:val="24"/>
        </w:rPr>
        <w:t>▲来源及全新性：供应商所投设备整机及核心部件应为来源合法、质量合格、状态良好、可追溯且未经使用的产品，不得使用二手件、翻新件、返修件、工程样品、测试样品、ES/QS 版本或来源不明的 OEM 拆机部件参与投标。核心部件包括但不限于 CPU、GPU、内存、硬盘、RAID 卡/HBA 卡、主板、电源模块、网卡等。</w:t>
      </w:r>
    </w:p>
    <w:p w14:paraId="30184400">
      <w:pPr>
        <w:pStyle w:val="15"/>
        <w:numPr>
          <w:ilvl w:val="0"/>
          <w:numId w:val="3"/>
        </w:numPr>
        <w:spacing w:line="240" w:lineRule="auto"/>
        <w:ind w:firstLineChars="0"/>
        <w:jc w:val="both"/>
        <w:rPr>
          <w:rFonts w:hint="eastAsia" w:ascii="仿宋_GB2312" w:hAnsi="仿宋_GB2312" w:eastAsia="仿宋_GB2312" w:cs="仿宋_GB2312"/>
          <w:sz w:val="24"/>
        </w:rPr>
      </w:pPr>
      <w:r>
        <w:rPr>
          <w:rFonts w:hint="eastAsia" w:ascii="仿宋_GB2312" w:hAnsi="仿宋_GB2312" w:eastAsia="仿宋_GB2312" w:cs="仿宋_GB2312"/>
          <w:sz w:val="24"/>
        </w:rPr>
        <w:t>供应商须承诺所投设备为本次采购新生产或新集成设备，整机出厂、集成、测试或质保起始时间应与本次采购时间相匹配。除CPU、GPU外，核心部件出厂日期原则上应在整机生产日期一年以内；确因原厂备货周期、渠道库存、整机集成周期等原因存在时间差异的，供应商应提供合理说明。</w:t>
      </w:r>
    </w:p>
    <w:p w14:paraId="30184401">
      <w:pPr>
        <w:pStyle w:val="15"/>
        <w:numPr>
          <w:ilvl w:val="0"/>
          <w:numId w:val="3"/>
        </w:numPr>
        <w:spacing w:line="240" w:lineRule="auto"/>
        <w:ind w:firstLineChars="0"/>
        <w:jc w:val="both"/>
        <w:rPr>
          <w:rFonts w:hint="eastAsia" w:ascii="仿宋_GB2312" w:hAnsi="仿宋_GB2312" w:eastAsia="仿宋_GB2312" w:cs="仿宋_GB2312"/>
          <w:sz w:val="24"/>
        </w:rPr>
      </w:pPr>
      <w:r>
        <w:rPr>
          <w:rFonts w:hint="eastAsia" w:ascii="仿宋_GB2312" w:hAnsi="仿宋_GB2312" w:eastAsia="仿宋_GB2312" w:cs="仿宋_GB2312"/>
          <w:sz w:val="24"/>
        </w:rPr>
        <w:t>核心部件应满足以下要求：硬盘通电时间原则上不超过50小时；确因原厂出厂测试、整机集成测试等原因导致通电时间超过50小时的，供应商应提供合理说明或证明；固态硬盘健康度应为100%且寿命消耗为0%，不得存在异常错误或明显累计写入记录；GPU不得存在历史ECC错误、异常运行记录、工程样品标识或非正式VBIOS；内存条应为同品牌、同规格、同批次或经原厂认证的兼容配置，不得混用来源不明、拆机、翻新或返修内存；CPU、GPU 不得为工程样品、测试样品、ES/QS 版本或非正式量产版本。</w:t>
      </w:r>
    </w:p>
    <w:p w14:paraId="30184402">
      <w:pPr>
        <w:numPr>
          <w:ilvl w:val="0"/>
          <w:numId w:val="3"/>
        </w:numPr>
        <w:spacing w:line="240" w:lineRule="auto"/>
        <w:jc w:val="both"/>
        <w:rPr>
          <w:rFonts w:hint="eastAsia" w:ascii="仿宋_GB2312" w:hAnsi="仿宋_GB2312" w:eastAsia="仿宋_GB2312" w:cs="仿宋_GB2312"/>
          <w:sz w:val="24"/>
        </w:rPr>
      </w:pPr>
      <w:r>
        <w:rPr>
          <w:rFonts w:hint="eastAsia" w:ascii="仿宋_GB2312" w:hAnsi="仿宋_GB2312" w:eastAsia="仿宋_GB2312" w:cs="仿宋_GB2312"/>
          <w:color w:val="000000"/>
          <w:spacing w:val="-6"/>
          <w:kern w:val="0"/>
          <w:sz w:val="24"/>
          <w:lang w:val="en-GB" w:bidi="ar"/>
          <w14:ligatures w14:val="none"/>
        </w:rPr>
        <w:t>▲</w:t>
      </w:r>
      <w:r>
        <w:rPr>
          <w:rFonts w:hint="eastAsia" w:ascii="仿宋_GB2312" w:hAnsi="仿宋_GB2312" w:eastAsia="仿宋_GB2312" w:cs="仿宋_GB2312"/>
          <w:sz w:val="24"/>
        </w:rPr>
        <w:t>售后：原厂（成交价内的所有硬件设备）≥3年整机产品替换质保，质保期后每年维保费不超过合同总价8%；7×24小时电话网络支持，合同期内，送货上门、安装、调试；负责采购人维修、操作、技术人员的培训，并无偿提供培训资料。售后服务费用包含在报价中，发生故障接到售后服务要求后，应承诺在1小时内响应并提出解决方案，6小时内到现场进行故障处理。</w:t>
      </w:r>
    </w:p>
    <w:p w14:paraId="30184403">
      <w:pPr>
        <w:numPr>
          <w:ilvl w:val="0"/>
          <w:numId w:val="3"/>
        </w:numPr>
        <w:spacing w:line="240" w:lineRule="auto"/>
        <w:jc w:val="both"/>
        <w:rPr>
          <w:rFonts w:hint="eastAsia" w:ascii="仿宋_GB2312" w:hAnsi="仿宋_GB2312" w:eastAsia="仿宋_GB2312" w:cs="仿宋_GB2312"/>
          <w:sz w:val="24"/>
        </w:rPr>
      </w:pPr>
      <w:r>
        <w:rPr>
          <w:rFonts w:hint="eastAsia" w:ascii="仿宋_GB2312" w:hAnsi="仿宋_GB2312" w:eastAsia="仿宋_GB2312" w:cs="仿宋_GB2312"/>
          <w:sz w:val="24"/>
        </w:rPr>
        <w:t>商务资质认证要求：产品通过中国国家强制CCC和节能认证。质量管理体系符合：GB/T19001-2016/ISO9001:2015标准；</w:t>
      </w:r>
    </w:p>
    <w:p w14:paraId="30184404">
      <w:pPr>
        <w:numPr>
          <w:ilvl w:val="0"/>
          <w:numId w:val="3"/>
        </w:numPr>
        <w:spacing w:line="240" w:lineRule="auto"/>
        <w:jc w:val="both"/>
        <w:rPr>
          <w:rFonts w:hint="eastAsia" w:ascii="仿宋_GB2312" w:hAnsi="仿宋_GB2312" w:eastAsia="仿宋_GB2312" w:cs="仿宋_GB2312"/>
          <w:sz w:val="24"/>
        </w:rPr>
      </w:pPr>
      <w:r>
        <w:rPr>
          <w:rFonts w:hint="eastAsia" w:ascii="仿宋_GB2312" w:hAnsi="仿宋_GB2312" w:eastAsia="仿宋_GB2312" w:cs="仿宋_GB2312"/>
          <w:sz w:val="24"/>
        </w:rPr>
        <w:t>验收时须提供生产厂家针对本项目出具售后服务承诺书原件或复印件。</w:t>
      </w:r>
    </w:p>
    <w:p w14:paraId="30184405">
      <w:pPr>
        <w:spacing w:line="300" w:lineRule="auto"/>
        <w:ind w:left="480" w:hanging="480" w:hangingChars="200"/>
        <w:jc w:val="both"/>
        <w:rPr>
          <w:rFonts w:ascii="Times New Roman" w:hAnsi="Times New Roman" w:eastAsia="宋体" w:cs="宋体"/>
          <w:sz w:val="24"/>
        </w:rPr>
      </w:pPr>
    </w:p>
    <w:sectPr>
      <w:footerReference r:id="rId5" w:type="default"/>
      <w:type w:val="continuous"/>
      <w:pgSz w:w="11906" w:h="16838"/>
      <w:pgMar w:top="1100" w:right="1134" w:bottom="567" w:left="1134" w:header="851" w:footer="283"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42B5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3D3EBF1">
                          <w:pPr>
                            <w:pStyle w:val="3"/>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3D3EBF1">
                    <w:pPr>
                      <w:pStyle w:val="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E4B9F9"/>
    <w:multiLevelType w:val="multilevel"/>
    <w:tmpl w:val="29E4B9F9"/>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
    <w:nsid w:val="322FF143"/>
    <w:multiLevelType w:val="singleLevel"/>
    <w:tmpl w:val="322FF143"/>
    <w:lvl w:ilvl="0" w:tentative="0">
      <w:start w:val="1"/>
      <w:numFmt w:val="chineseCounting"/>
      <w:suff w:val="nothing"/>
      <w:lvlText w:val="（%1）"/>
      <w:lvlJc w:val="left"/>
      <w:rPr>
        <w:rFonts w:hint="eastAsia"/>
      </w:rPr>
    </w:lvl>
  </w:abstractNum>
  <w:abstractNum w:abstractNumId="2">
    <w:nsid w:val="64DF2CE3"/>
    <w:multiLevelType w:val="singleLevel"/>
    <w:tmpl w:val="64DF2CE3"/>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bordersDoNotSurroundHeader w:val="1"/>
  <w:bordersDoNotSurroundFooter w:val="1"/>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834"/>
    <w:rsid w:val="0000075A"/>
    <w:rsid w:val="0001592A"/>
    <w:rsid w:val="0001759F"/>
    <w:rsid w:val="00023665"/>
    <w:rsid w:val="00045D0A"/>
    <w:rsid w:val="00054462"/>
    <w:rsid w:val="0005760B"/>
    <w:rsid w:val="00061FF2"/>
    <w:rsid w:val="00062595"/>
    <w:rsid w:val="000642AD"/>
    <w:rsid w:val="00071FCC"/>
    <w:rsid w:val="0007273B"/>
    <w:rsid w:val="00082F71"/>
    <w:rsid w:val="000A59EE"/>
    <w:rsid w:val="000A7CAD"/>
    <w:rsid w:val="000A7E25"/>
    <w:rsid w:val="000B078B"/>
    <w:rsid w:val="000D0413"/>
    <w:rsid w:val="000E0C33"/>
    <w:rsid w:val="000E4706"/>
    <w:rsid w:val="000F6785"/>
    <w:rsid w:val="0010006D"/>
    <w:rsid w:val="00100889"/>
    <w:rsid w:val="00101C4E"/>
    <w:rsid w:val="00103572"/>
    <w:rsid w:val="00111630"/>
    <w:rsid w:val="00122B41"/>
    <w:rsid w:val="00124052"/>
    <w:rsid w:val="00132A0A"/>
    <w:rsid w:val="00134D80"/>
    <w:rsid w:val="00136D33"/>
    <w:rsid w:val="0013764E"/>
    <w:rsid w:val="00141252"/>
    <w:rsid w:val="00141920"/>
    <w:rsid w:val="00147A69"/>
    <w:rsid w:val="0015505D"/>
    <w:rsid w:val="001567E2"/>
    <w:rsid w:val="001630D5"/>
    <w:rsid w:val="0016357B"/>
    <w:rsid w:val="00163D2F"/>
    <w:rsid w:val="00164816"/>
    <w:rsid w:val="00171A1D"/>
    <w:rsid w:val="00175E9A"/>
    <w:rsid w:val="00182622"/>
    <w:rsid w:val="001A1B1C"/>
    <w:rsid w:val="001A495A"/>
    <w:rsid w:val="001A756C"/>
    <w:rsid w:val="001A7D06"/>
    <w:rsid w:val="001B1B70"/>
    <w:rsid w:val="001B2215"/>
    <w:rsid w:val="001C3F05"/>
    <w:rsid w:val="001D3856"/>
    <w:rsid w:val="001D3C71"/>
    <w:rsid w:val="001D456A"/>
    <w:rsid w:val="001D6EB6"/>
    <w:rsid w:val="001E4596"/>
    <w:rsid w:val="001F476D"/>
    <w:rsid w:val="001F53D4"/>
    <w:rsid w:val="001F6908"/>
    <w:rsid w:val="00201483"/>
    <w:rsid w:val="00202FB4"/>
    <w:rsid w:val="00206927"/>
    <w:rsid w:val="00211295"/>
    <w:rsid w:val="00213054"/>
    <w:rsid w:val="00213F57"/>
    <w:rsid w:val="00220AE8"/>
    <w:rsid w:val="00227DEF"/>
    <w:rsid w:val="00231A4B"/>
    <w:rsid w:val="00233A4C"/>
    <w:rsid w:val="002344F3"/>
    <w:rsid w:val="002466A1"/>
    <w:rsid w:val="002567CE"/>
    <w:rsid w:val="0026074C"/>
    <w:rsid w:val="0026077A"/>
    <w:rsid w:val="002628E9"/>
    <w:rsid w:val="002677A0"/>
    <w:rsid w:val="00270663"/>
    <w:rsid w:val="0027267F"/>
    <w:rsid w:val="00273938"/>
    <w:rsid w:val="002902A1"/>
    <w:rsid w:val="002969B4"/>
    <w:rsid w:val="002A45F2"/>
    <w:rsid w:val="002A7595"/>
    <w:rsid w:val="002A7E41"/>
    <w:rsid w:val="002D0AD7"/>
    <w:rsid w:val="002D3F0C"/>
    <w:rsid w:val="002E475D"/>
    <w:rsid w:val="002E6C16"/>
    <w:rsid w:val="002F1EA6"/>
    <w:rsid w:val="0030182D"/>
    <w:rsid w:val="00312594"/>
    <w:rsid w:val="00330E6E"/>
    <w:rsid w:val="00332AE3"/>
    <w:rsid w:val="00334EDF"/>
    <w:rsid w:val="003429D3"/>
    <w:rsid w:val="003448D4"/>
    <w:rsid w:val="00345889"/>
    <w:rsid w:val="00352F26"/>
    <w:rsid w:val="003627B8"/>
    <w:rsid w:val="003840EB"/>
    <w:rsid w:val="003854DF"/>
    <w:rsid w:val="00390366"/>
    <w:rsid w:val="0039170E"/>
    <w:rsid w:val="00396AEB"/>
    <w:rsid w:val="003A5DB9"/>
    <w:rsid w:val="003A6A25"/>
    <w:rsid w:val="003B6E6A"/>
    <w:rsid w:val="003C29D4"/>
    <w:rsid w:val="003C588D"/>
    <w:rsid w:val="003D66DE"/>
    <w:rsid w:val="003D6852"/>
    <w:rsid w:val="003F0D00"/>
    <w:rsid w:val="003F44CC"/>
    <w:rsid w:val="00401710"/>
    <w:rsid w:val="00410D49"/>
    <w:rsid w:val="004126CD"/>
    <w:rsid w:val="00415CA4"/>
    <w:rsid w:val="0042238F"/>
    <w:rsid w:val="00425EBD"/>
    <w:rsid w:val="00436188"/>
    <w:rsid w:val="004366FE"/>
    <w:rsid w:val="00442F90"/>
    <w:rsid w:val="00451466"/>
    <w:rsid w:val="004640C8"/>
    <w:rsid w:val="004705E3"/>
    <w:rsid w:val="004711E0"/>
    <w:rsid w:val="00475CC4"/>
    <w:rsid w:val="00482770"/>
    <w:rsid w:val="004852F6"/>
    <w:rsid w:val="004911B1"/>
    <w:rsid w:val="00491602"/>
    <w:rsid w:val="004918E0"/>
    <w:rsid w:val="00491E42"/>
    <w:rsid w:val="00495AE9"/>
    <w:rsid w:val="00495B13"/>
    <w:rsid w:val="004972D5"/>
    <w:rsid w:val="004B37D5"/>
    <w:rsid w:val="004B796D"/>
    <w:rsid w:val="004C0246"/>
    <w:rsid w:val="004C7230"/>
    <w:rsid w:val="004E2A0B"/>
    <w:rsid w:val="004F6C1F"/>
    <w:rsid w:val="00501C08"/>
    <w:rsid w:val="00502699"/>
    <w:rsid w:val="00505575"/>
    <w:rsid w:val="00510DFE"/>
    <w:rsid w:val="00517BEA"/>
    <w:rsid w:val="00537723"/>
    <w:rsid w:val="00540B44"/>
    <w:rsid w:val="0055072B"/>
    <w:rsid w:val="00552A56"/>
    <w:rsid w:val="00553096"/>
    <w:rsid w:val="00561C41"/>
    <w:rsid w:val="00562FC7"/>
    <w:rsid w:val="00564C33"/>
    <w:rsid w:val="00566909"/>
    <w:rsid w:val="005669DC"/>
    <w:rsid w:val="005723E5"/>
    <w:rsid w:val="00575B18"/>
    <w:rsid w:val="00584140"/>
    <w:rsid w:val="00591F89"/>
    <w:rsid w:val="00592258"/>
    <w:rsid w:val="00597413"/>
    <w:rsid w:val="005A3366"/>
    <w:rsid w:val="005A4289"/>
    <w:rsid w:val="005A4844"/>
    <w:rsid w:val="005A48C5"/>
    <w:rsid w:val="005A69DC"/>
    <w:rsid w:val="005B5475"/>
    <w:rsid w:val="005C799B"/>
    <w:rsid w:val="005D0A38"/>
    <w:rsid w:val="005D6651"/>
    <w:rsid w:val="005E3577"/>
    <w:rsid w:val="005E67ED"/>
    <w:rsid w:val="005E6943"/>
    <w:rsid w:val="005F6D59"/>
    <w:rsid w:val="00600EBA"/>
    <w:rsid w:val="006010AF"/>
    <w:rsid w:val="00602F20"/>
    <w:rsid w:val="00603121"/>
    <w:rsid w:val="006075D6"/>
    <w:rsid w:val="0061265E"/>
    <w:rsid w:val="00627708"/>
    <w:rsid w:val="006302F2"/>
    <w:rsid w:val="0063794D"/>
    <w:rsid w:val="0064198D"/>
    <w:rsid w:val="00652705"/>
    <w:rsid w:val="006670CD"/>
    <w:rsid w:val="00693882"/>
    <w:rsid w:val="00693BA4"/>
    <w:rsid w:val="00695E16"/>
    <w:rsid w:val="006B5185"/>
    <w:rsid w:val="006C0BEF"/>
    <w:rsid w:val="006C7AD8"/>
    <w:rsid w:val="006D2121"/>
    <w:rsid w:val="006E1C48"/>
    <w:rsid w:val="006E69AC"/>
    <w:rsid w:val="006E761D"/>
    <w:rsid w:val="006F1729"/>
    <w:rsid w:val="006F21AE"/>
    <w:rsid w:val="006F2FC2"/>
    <w:rsid w:val="006F5479"/>
    <w:rsid w:val="006F5D12"/>
    <w:rsid w:val="006F681E"/>
    <w:rsid w:val="007036BC"/>
    <w:rsid w:val="00711D19"/>
    <w:rsid w:val="00711D6A"/>
    <w:rsid w:val="00715749"/>
    <w:rsid w:val="00717857"/>
    <w:rsid w:val="00726D93"/>
    <w:rsid w:val="00727625"/>
    <w:rsid w:val="00731C5A"/>
    <w:rsid w:val="007352DD"/>
    <w:rsid w:val="00747A6E"/>
    <w:rsid w:val="007531C3"/>
    <w:rsid w:val="00754C79"/>
    <w:rsid w:val="007572A6"/>
    <w:rsid w:val="00765164"/>
    <w:rsid w:val="00784C53"/>
    <w:rsid w:val="0078559B"/>
    <w:rsid w:val="00791B21"/>
    <w:rsid w:val="00795074"/>
    <w:rsid w:val="007A6379"/>
    <w:rsid w:val="007A72FC"/>
    <w:rsid w:val="007B1BCE"/>
    <w:rsid w:val="007B1C50"/>
    <w:rsid w:val="007B3EE7"/>
    <w:rsid w:val="007B3F73"/>
    <w:rsid w:val="007D4DF9"/>
    <w:rsid w:val="007E21CB"/>
    <w:rsid w:val="007E6C98"/>
    <w:rsid w:val="0081153E"/>
    <w:rsid w:val="00815BDC"/>
    <w:rsid w:val="0081762E"/>
    <w:rsid w:val="00817727"/>
    <w:rsid w:val="00820BF0"/>
    <w:rsid w:val="008225D9"/>
    <w:rsid w:val="00825C91"/>
    <w:rsid w:val="00827640"/>
    <w:rsid w:val="008304D2"/>
    <w:rsid w:val="00836507"/>
    <w:rsid w:val="0084733D"/>
    <w:rsid w:val="00850854"/>
    <w:rsid w:val="00851011"/>
    <w:rsid w:val="0085486C"/>
    <w:rsid w:val="0086485B"/>
    <w:rsid w:val="0086573B"/>
    <w:rsid w:val="00870ACC"/>
    <w:rsid w:val="008721D1"/>
    <w:rsid w:val="00880382"/>
    <w:rsid w:val="00880BDB"/>
    <w:rsid w:val="00882E58"/>
    <w:rsid w:val="00885261"/>
    <w:rsid w:val="00885E44"/>
    <w:rsid w:val="0088641E"/>
    <w:rsid w:val="0088770F"/>
    <w:rsid w:val="00887A46"/>
    <w:rsid w:val="00896BD2"/>
    <w:rsid w:val="008A5094"/>
    <w:rsid w:val="008D6F66"/>
    <w:rsid w:val="008D7F2D"/>
    <w:rsid w:val="008E4008"/>
    <w:rsid w:val="008F46A2"/>
    <w:rsid w:val="008F49F3"/>
    <w:rsid w:val="008F6E99"/>
    <w:rsid w:val="00900F1F"/>
    <w:rsid w:val="009071BC"/>
    <w:rsid w:val="00910834"/>
    <w:rsid w:val="00916546"/>
    <w:rsid w:val="009222FC"/>
    <w:rsid w:val="0093112D"/>
    <w:rsid w:val="009322A8"/>
    <w:rsid w:val="0094050F"/>
    <w:rsid w:val="00942AAD"/>
    <w:rsid w:val="00944DEC"/>
    <w:rsid w:val="00950EA6"/>
    <w:rsid w:val="00953EB9"/>
    <w:rsid w:val="0095661E"/>
    <w:rsid w:val="00971D0C"/>
    <w:rsid w:val="009752BD"/>
    <w:rsid w:val="009775EF"/>
    <w:rsid w:val="00986BED"/>
    <w:rsid w:val="00987203"/>
    <w:rsid w:val="009948F1"/>
    <w:rsid w:val="00995937"/>
    <w:rsid w:val="009B7FC2"/>
    <w:rsid w:val="009C2808"/>
    <w:rsid w:val="009C6841"/>
    <w:rsid w:val="009D41D5"/>
    <w:rsid w:val="009D4D9C"/>
    <w:rsid w:val="009E2596"/>
    <w:rsid w:val="009E4FBF"/>
    <w:rsid w:val="009E570B"/>
    <w:rsid w:val="009F4C1B"/>
    <w:rsid w:val="009F541E"/>
    <w:rsid w:val="009F7E88"/>
    <w:rsid w:val="00A0299D"/>
    <w:rsid w:val="00A070B7"/>
    <w:rsid w:val="00A11F31"/>
    <w:rsid w:val="00A14F90"/>
    <w:rsid w:val="00A16080"/>
    <w:rsid w:val="00A2152E"/>
    <w:rsid w:val="00A30273"/>
    <w:rsid w:val="00A3709F"/>
    <w:rsid w:val="00A510D2"/>
    <w:rsid w:val="00A549B6"/>
    <w:rsid w:val="00A70110"/>
    <w:rsid w:val="00A7586B"/>
    <w:rsid w:val="00A816F2"/>
    <w:rsid w:val="00A83531"/>
    <w:rsid w:val="00A84DCE"/>
    <w:rsid w:val="00A86584"/>
    <w:rsid w:val="00A90DE1"/>
    <w:rsid w:val="00A96158"/>
    <w:rsid w:val="00AA5A40"/>
    <w:rsid w:val="00AA5A47"/>
    <w:rsid w:val="00AA75D2"/>
    <w:rsid w:val="00AB40C9"/>
    <w:rsid w:val="00AB7D56"/>
    <w:rsid w:val="00AC01B5"/>
    <w:rsid w:val="00AC01BB"/>
    <w:rsid w:val="00AC36C1"/>
    <w:rsid w:val="00AD09FE"/>
    <w:rsid w:val="00AF00F1"/>
    <w:rsid w:val="00AF08EE"/>
    <w:rsid w:val="00AF4FB7"/>
    <w:rsid w:val="00B02047"/>
    <w:rsid w:val="00B04896"/>
    <w:rsid w:val="00B10B29"/>
    <w:rsid w:val="00B13497"/>
    <w:rsid w:val="00B1404B"/>
    <w:rsid w:val="00B16AF4"/>
    <w:rsid w:val="00B17DF8"/>
    <w:rsid w:val="00B20F41"/>
    <w:rsid w:val="00B22434"/>
    <w:rsid w:val="00B23267"/>
    <w:rsid w:val="00B43012"/>
    <w:rsid w:val="00B516FB"/>
    <w:rsid w:val="00B528FF"/>
    <w:rsid w:val="00B60147"/>
    <w:rsid w:val="00B61756"/>
    <w:rsid w:val="00B6576C"/>
    <w:rsid w:val="00B73417"/>
    <w:rsid w:val="00B7604F"/>
    <w:rsid w:val="00B76FF8"/>
    <w:rsid w:val="00B82C25"/>
    <w:rsid w:val="00B86C32"/>
    <w:rsid w:val="00B95C75"/>
    <w:rsid w:val="00B9646B"/>
    <w:rsid w:val="00BA1F6E"/>
    <w:rsid w:val="00BA36A8"/>
    <w:rsid w:val="00BA458E"/>
    <w:rsid w:val="00BB5119"/>
    <w:rsid w:val="00BB5269"/>
    <w:rsid w:val="00BB61C2"/>
    <w:rsid w:val="00BC0347"/>
    <w:rsid w:val="00BC059F"/>
    <w:rsid w:val="00BC0B22"/>
    <w:rsid w:val="00BC1F26"/>
    <w:rsid w:val="00BC3965"/>
    <w:rsid w:val="00BC3DDF"/>
    <w:rsid w:val="00BC6C0E"/>
    <w:rsid w:val="00BD1BAE"/>
    <w:rsid w:val="00BD2D33"/>
    <w:rsid w:val="00BD3AD4"/>
    <w:rsid w:val="00BE11C3"/>
    <w:rsid w:val="00BF017F"/>
    <w:rsid w:val="00BF42BB"/>
    <w:rsid w:val="00C06FE6"/>
    <w:rsid w:val="00C1092E"/>
    <w:rsid w:val="00C15CE2"/>
    <w:rsid w:val="00C165AA"/>
    <w:rsid w:val="00C3653D"/>
    <w:rsid w:val="00C479E4"/>
    <w:rsid w:val="00C561CD"/>
    <w:rsid w:val="00C5708B"/>
    <w:rsid w:val="00C60D55"/>
    <w:rsid w:val="00C6256F"/>
    <w:rsid w:val="00C63BAB"/>
    <w:rsid w:val="00C7026E"/>
    <w:rsid w:val="00C87A5C"/>
    <w:rsid w:val="00C92FEB"/>
    <w:rsid w:val="00C93294"/>
    <w:rsid w:val="00CA0801"/>
    <w:rsid w:val="00CA678A"/>
    <w:rsid w:val="00CB6B77"/>
    <w:rsid w:val="00CB76E1"/>
    <w:rsid w:val="00CC6872"/>
    <w:rsid w:val="00CD6DA6"/>
    <w:rsid w:val="00D03819"/>
    <w:rsid w:val="00D12FD8"/>
    <w:rsid w:val="00D15718"/>
    <w:rsid w:val="00D15DC1"/>
    <w:rsid w:val="00D5095C"/>
    <w:rsid w:val="00D535E6"/>
    <w:rsid w:val="00D53B73"/>
    <w:rsid w:val="00D63BCE"/>
    <w:rsid w:val="00D721CA"/>
    <w:rsid w:val="00D73464"/>
    <w:rsid w:val="00D74137"/>
    <w:rsid w:val="00D87799"/>
    <w:rsid w:val="00D911AD"/>
    <w:rsid w:val="00D93C68"/>
    <w:rsid w:val="00D94CF2"/>
    <w:rsid w:val="00D94E81"/>
    <w:rsid w:val="00D97FB4"/>
    <w:rsid w:val="00DA12EF"/>
    <w:rsid w:val="00DA7479"/>
    <w:rsid w:val="00DB1B54"/>
    <w:rsid w:val="00DB7D75"/>
    <w:rsid w:val="00DC48FA"/>
    <w:rsid w:val="00DC733E"/>
    <w:rsid w:val="00DF09EC"/>
    <w:rsid w:val="00DF1AA9"/>
    <w:rsid w:val="00DF39D3"/>
    <w:rsid w:val="00DF6E8B"/>
    <w:rsid w:val="00E024FF"/>
    <w:rsid w:val="00E11CB8"/>
    <w:rsid w:val="00E16AAD"/>
    <w:rsid w:val="00E2119A"/>
    <w:rsid w:val="00E230D4"/>
    <w:rsid w:val="00E24ECD"/>
    <w:rsid w:val="00E30541"/>
    <w:rsid w:val="00E30804"/>
    <w:rsid w:val="00E3431A"/>
    <w:rsid w:val="00E34322"/>
    <w:rsid w:val="00E40DCF"/>
    <w:rsid w:val="00E45B3A"/>
    <w:rsid w:val="00E47446"/>
    <w:rsid w:val="00E531FF"/>
    <w:rsid w:val="00E60A7A"/>
    <w:rsid w:val="00E62071"/>
    <w:rsid w:val="00E66C19"/>
    <w:rsid w:val="00E72B0B"/>
    <w:rsid w:val="00E742A2"/>
    <w:rsid w:val="00E76AD0"/>
    <w:rsid w:val="00E76F5E"/>
    <w:rsid w:val="00E8296D"/>
    <w:rsid w:val="00E8308A"/>
    <w:rsid w:val="00E9289A"/>
    <w:rsid w:val="00E937DF"/>
    <w:rsid w:val="00E963C9"/>
    <w:rsid w:val="00E9705E"/>
    <w:rsid w:val="00E97E1B"/>
    <w:rsid w:val="00EA48BA"/>
    <w:rsid w:val="00EB60D2"/>
    <w:rsid w:val="00EC2DD7"/>
    <w:rsid w:val="00EC32BE"/>
    <w:rsid w:val="00EC41C3"/>
    <w:rsid w:val="00ED4492"/>
    <w:rsid w:val="00EE18AE"/>
    <w:rsid w:val="00EE4D23"/>
    <w:rsid w:val="00EF039E"/>
    <w:rsid w:val="00EF5305"/>
    <w:rsid w:val="00F06AFA"/>
    <w:rsid w:val="00F13E33"/>
    <w:rsid w:val="00F14AB9"/>
    <w:rsid w:val="00F1610D"/>
    <w:rsid w:val="00F16186"/>
    <w:rsid w:val="00F16223"/>
    <w:rsid w:val="00F164C6"/>
    <w:rsid w:val="00F20FEC"/>
    <w:rsid w:val="00F245B2"/>
    <w:rsid w:val="00F37450"/>
    <w:rsid w:val="00F37A7C"/>
    <w:rsid w:val="00F56B5B"/>
    <w:rsid w:val="00F57A32"/>
    <w:rsid w:val="00F66DE2"/>
    <w:rsid w:val="00F86A1F"/>
    <w:rsid w:val="00F909B3"/>
    <w:rsid w:val="00FA1526"/>
    <w:rsid w:val="00FA3758"/>
    <w:rsid w:val="00FB1A2C"/>
    <w:rsid w:val="00FB211D"/>
    <w:rsid w:val="00FC0D2F"/>
    <w:rsid w:val="00FC17E9"/>
    <w:rsid w:val="00FC43CC"/>
    <w:rsid w:val="00FC6747"/>
    <w:rsid w:val="00FC7FBA"/>
    <w:rsid w:val="00FD1DAC"/>
    <w:rsid w:val="00FF0637"/>
    <w:rsid w:val="00FF1E8E"/>
    <w:rsid w:val="00FF4D44"/>
    <w:rsid w:val="00FF7300"/>
    <w:rsid w:val="010B22B0"/>
    <w:rsid w:val="01512F33"/>
    <w:rsid w:val="01BB3CD7"/>
    <w:rsid w:val="02443CCC"/>
    <w:rsid w:val="026C6D7F"/>
    <w:rsid w:val="02BE247E"/>
    <w:rsid w:val="0314369E"/>
    <w:rsid w:val="0349110B"/>
    <w:rsid w:val="03D5252D"/>
    <w:rsid w:val="03D74FDD"/>
    <w:rsid w:val="041D20C7"/>
    <w:rsid w:val="0442423B"/>
    <w:rsid w:val="045E3C64"/>
    <w:rsid w:val="04DA1A91"/>
    <w:rsid w:val="05402CA1"/>
    <w:rsid w:val="054E09BE"/>
    <w:rsid w:val="05BC1DCB"/>
    <w:rsid w:val="061D286A"/>
    <w:rsid w:val="0644429B"/>
    <w:rsid w:val="066F5090"/>
    <w:rsid w:val="06C22CC0"/>
    <w:rsid w:val="06E97196"/>
    <w:rsid w:val="06EB0BBA"/>
    <w:rsid w:val="06F7539A"/>
    <w:rsid w:val="07350087"/>
    <w:rsid w:val="073C7FDB"/>
    <w:rsid w:val="0744651C"/>
    <w:rsid w:val="074A1D85"/>
    <w:rsid w:val="07640E8F"/>
    <w:rsid w:val="07E8334B"/>
    <w:rsid w:val="07EF46DA"/>
    <w:rsid w:val="080433F6"/>
    <w:rsid w:val="083614F0"/>
    <w:rsid w:val="08536A17"/>
    <w:rsid w:val="08752E31"/>
    <w:rsid w:val="08D12974"/>
    <w:rsid w:val="08DC6C8A"/>
    <w:rsid w:val="08EC29C7"/>
    <w:rsid w:val="09C474A0"/>
    <w:rsid w:val="0A195A3E"/>
    <w:rsid w:val="0A21354F"/>
    <w:rsid w:val="0A762E91"/>
    <w:rsid w:val="0A9F4195"/>
    <w:rsid w:val="0AB07621"/>
    <w:rsid w:val="0AFA13CC"/>
    <w:rsid w:val="0B0C10FF"/>
    <w:rsid w:val="0B116715"/>
    <w:rsid w:val="0BA349DB"/>
    <w:rsid w:val="0BD66C78"/>
    <w:rsid w:val="0C3C2B64"/>
    <w:rsid w:val="0C3E178C"/>
    <w:rsid w:val="0C8C7FCD"/>
    <w:rsid w:val="0C931AD8"/>
    <w:rsid w:val="0CBB30FD"/>
    <w:rsid w:val="0D397A5A"/>
    <w:rsid w:val="0D645222"/>
    <w:rsid w:val="0D7A4A46"/>
    <w:rsid w:val="0D974AE8"/>
    <w:rsid w:val="0DDD6D83"/>
    <w:rsid w:val="0E230C39"/>
    <w:rsid w:val="0E52151F"/>
    <w:rsid w:val="0E5E4367"/>
    <w:rsid w:val="0EA0672E"/>
    <w:rsid w:val="0EF75085"/>
    <w:rsid w:val="0F120901"/>
    <w:rsid w:val="0F690D4A"/>
    <w:rsid w:val="0FA61B22"/>
    <w:rsid w:val="0FA66633"/>
    <w:rsid w:val="10022AD1"/>
    <w:rsid w:val="102962AF"/>
    <w:rsid w:val="104F31AA"/>
    <w:rsid w:val="10B47DE2"/>
    <w:rsid w:val="10BC7123"/>
    <w:rsid w:val="11300BBC"/>
    <w:rsid w:val="11845E93"/>
    <w:rsid w:val="11D808D1"/>
    <w:rsid w:val="11F4788B"/>
    <w:rsid w:val="127C4DBC"/>
    <w:rsid w:val="12D16393"/>
    <w:rsid w:val="12E0359D"/>
    <w:rsid w:val="13682D04"/>
    <w:rsid w:val="13830225"/>
    <w:rsid w:val="13B14F39"/>
    <w:rsid w:val="13F418A7"/>
    <w:rsid w:val="140137CB"/>
    <w:rsid w:val="14214C4A"/>
    <w:rsid w:val="14321BD6"/>
    <w:rsid w:val="14DE1D5E"/>
    <w:rsid w:val="1525798D"/>
    <w:rsid w:val="1545761A"/>
    <w:rsid w:val="15632263"/>
    <w:rsid w:val="15877D00"/>
    <w:rsid w:val="15AA1C40"/>
    <w:rsid w:val="16511225"/>
    <w:rsid w:val="16B758B9"/>
    <w:rsid w:val="16DF591A"/>
    <w:rsid w:val="17012C29"/>
    <w:rsid w:val="17137D16"/>
    <w:rsid w:val="17824C23"/>
    <w:rsid w:val="17887D5F"/>
    <w:rsid w:val="181141F9"/>
    <w:rsid w:val="187F1162"/>
    <w:rsid w:val="18DF49E0"/>
    <w:rsid w:val="18F90F15"/>
    <w:rsid w:val="19481E9C"/>
    <w:rsid w:val="19A8789F"/>
    <w:rsid w:val="19CF2F48"/>
    <w:rsid w:val="19FD4E64"/>
    <w:rsid w:val="1A037B71"/>
    <w:rsid w:val="1A09162B"/>
    <w:rsid w:val="1A2E4BEE"/>
    <w:rsid w:val="1B216501"/>
    <w:rsid w:val="1B4944AD"/>
    <w:rsid w:val="1B574618"/>
    <w:rsid w:val="1B8A22F8"/>
    <w:rsid w:val="1B8F5C72"/>
    <w:rsid w:val="1BFE685E"/>
    <w:rsid w:val="1C16002F"/>
    <w:rsid w:val="1C1D316C"/>
    <w:rsid w:val="1C4C75BF"/>
    <w:rsid w:val="1C676ADD"/>
    <w:rsid w:val="1C9D605B"/>
    <w:rsid w:val="1CD42C5F"/>
    <w:rsid w:val="1D216C8C"/>
    <w:rsid w:val="1D623594"/>
    <w:rsid w:val="1DED3012"/>
    <w:rsid w:val="1DF223D6"/>
    <w:rsid w:val="1DF44AEB"/>
    <w:rsid w:val="1E200CF1"/>
    <w:rsid w:val="1E2D5254"/>
    <w:rsid w:val="1E601A36"/>
    <w:rsid w:val="1F586CEC"/>
    <w:rsid w:val="1F5A0233"/>
    <w:rsid w:val="1F5E5F75"/>
    <w:rsid w:val="1F903C55"/>
    <w:rsid w:val="1FF561AE"/>
    <w:rsid w:val="20523600"/>
    <w:rsid w:val="20806EE9"/>
    <w:rsid w:val="20AA4F87"/>
    <w:rsid w:val="20B6593D"/>
    <w:rsid w:val="21117017"/>
    <w:rsid w:val="214A3CC8"/>
    <w:rsid w:val="21AF0D0A"/>
    <w:rsid w:val="222C0BE3"/>
    <w:rsid w:val="222F15D3"/>
    <w:rsid w:val="228201CD"/>
    <w:rsid w:val="22837FA0"/>
    <w:rsid w:val="228C2380"/>
    <w:rsid w:val="22EA7B20"/>
    <w:rsid w:val="231D4366"/>
    <w:rsid w:val="2353654C"/>
    <w:rsid w:val="23621DAC"/>
    <w:rsid w:val="238735C1"/>
    <w:rsid w:val="23B753E0"/>
    <w:rsid w:val="23E10FBF"/>
    <w:rsid w:val="23ED3D6C"/>
    <w:rsid w:val="240D1D18"/>
    <w:rsid w:val="24114FAE"/>
    <w:rsid w:val="24262DDA"/>
    <w:rsid w:val="24A361D8"/>
    <w:rsid w:val="25E6243C"/>
    <w:rsid w:val="260351AB"/>
    <w:rsid w:val="262C2930"/>
    <w:rsid w:val="26377520"/>
    <w:rsid w:val="267918E7"/>
    <w:rsid w:val="26A1499A"/>
    <w:rsid w:val="26BE72FA"/>
    <w:rsid w:val="26CA0473"/>
    <w:rsid w:val="26D134D1"/>
    <w:rsid w:val="27383550"/>
    <w:rsid w:val="27783E6C"/>
    <w:rsid w:val="27C9064C"/>
    <w:rsid w:val="27E437C3"/>
    <w:rsid w:val="28652521"/>
    <w:rsid w:val="286D77A8"/>
    <w:rsid w:val="28E219C5"/>
    <w:rsid w:val="29001E4B"/>
    <w:rsid w:val="291458F7"/>
    <w:rsid w:val="29F25306"/>
    <w:rsid w:val="2A102562"/>
    <w:rsid w:val="2A3566EA"/>
    <w:rsid w:val="2AB7395D"/>
    <w:rsid w:val="2ACB1916"/>
    <w:rsid w:val="2AD26FCD"/>
    <w:rsid w:val="2AE337D3"/>
    <w:rsid w:val="2AEF2177"/>
    <w:rsid w:val="2B4E2C5C"/>
    <w:rsid w:val="2B797C93"/>
    <w:rsid w:val="2BEA0B91"/>
    <w:rsid w:val="2D752F58"/>
    <w:rsid w:val="2DB81A56"/>
    <w:rsid w:val="2DCC5BE3"/>
    <w:rsid w:val="2DD85145"/>
    <w:rsid w:val="2EA339A5"/>
    <w:rsid w:val="2EDC2A13"/>
    <w:rsid w:val="2F7760A6"/>
    <w:rsid w:val="2FDC6B03"/>
    <w:rsid w:val="30817D16"/>
    <w:rsid w:val="30A026C3"/>
    <w:rsid w:val="30B8125D"/>
    <w:rsid w:val="30C63386"/>
    <w:rsid w:val="3126266B"/>
    <w:rsid w:val="32075FF9"/>
    <w:rsid w:val="32674CE9"/>
    <w:rsid w:val="32891103"/>
    <w:rsid w:val="32A01FA9"/>
    <w:rsid w:val="33435756"/>
    <w:rsid w:val="337E678E"/>
    <w:rsid w:val="338070CB"/>
    <w:rsid w:val="34184A0F"/>
    <w:rsid w:val="34A22009"/>
    <w:rsid w:val="34AA710F"/>
    <w:rsid w:val="3578720D"/>
    <w:rsid w:val="362C0724"/>
    <w:rsid w:val="36BA7B84"/>
    <w:rsid w:val="36C14D29"/>
    <w:rsid w:val="36D05553"/>
    <w:rsid w:val="37040D59"/>
    <w:rsid w:val="370451FC"/>
    <w:rsid w:val="372E5DD5"/>
    <w:rsid w:val="374B6987"/>
    <w:rsid w:val="375C6DE7"/>
    <w:rsid w:val="375E61E2"/>
    <w:rsid w:val="37D73BD3"/>
    <w:rsid w:val="37D90437"/>
    <w:rsid w:val="380D1E8F"/>
    <w:rsid w:val="383E473E"/>
    <w:rsid w:val="38B16CBE"/>
    <w:rsid w:val="38F92413"/>
    <w:rsid w:val="390C7806"/>
    <w:rsid w:val="39763A64"/>
    <w:rsid w:val="399C3C4D"/>
    <w:rsid w:val="399D36E6"/>
    <w:rsid w:val="39FC040D"/>
    <w:rsid w:val="3A2B1952"/>
    <w:rsid w:val="3B5878C5"/>
    <w:rsid w:val="3B765A19"/>
    <w:rsid w:val="3B7B595B"/>
    <w:rsid w:val="3BAB09A2"/>
    <w:rsid w:val="3BC66F24"/>
    <w:rsid w:val="3BDB4052"/>
    <w:rsid w:val="3C0B4937"/>
    <w:rsid w:val="3C277297"/>
    <w:rsid w:val="3C340332"/>
    <w:rsid w:val="3C355AFB"/>
    <w:rsid w:val="3C3C0F95"/>
    <w:rsid w:val="3C5E0F0B"/>
    <w:rsid w:val="3CB925E5"/>
    <w:rsid w:val="3CCA47F2"/>
    <w:rsid w:val="3CF7310E"/>
    <w:rsid w:val="3D000214"/>
    <w:rsid w:val="3D202664"/>
    <w:rsid w:val="3D7B5AED"/>
    <w:rsid w:val="3D8253C0"/>
    <w:rsid w:val="3D89020A"/>
    <w:rsid w:val="3D980595"/>
    <w:rsid w:val="3DF022AF"/>
    <w:rsid w:val="3E466455"/>
    <w:rsid w:val="3E5967E1"/>
    <w:rsid w:val="3E8D5AD7"/>
    <w:rsid w:val="3EBF7C5B"/>
    <w:rsid w:val="3EC15781"/>
    <w:rsid w:val="3EF721D5"/>
    <w:rsid w:val="3F0833B0"/>
    <w:rsid w:val="3F454604"/>
    <w:rsid w:val="3F951B34"/>
    <w:rsid w:val="3FB33EAA"/>
    <w:rsid w:val="3FCC6AD3"/>
    <w:rsid w:val="3FD57736"/>
    <w:rsid w:val="40063D93"/>
    <w:rsid w:val="408E3C7B"/>
    <w:rsid w:val="409F7D44"/>
    <w:rsid w:val="411877E1"/>
    <w:rsid w:val="412F06F1"/>
    <w:rsid w:val="41901927"/>
    <w:rsid w:val="41AD19CA"/>
    <w:rsid w:val="41E53E7C"/>
    <w:rsid w:val="41E9396D"/>
    <w:rsid w:val="425A4FD8"/>
    <w:rsid w:val="428B3ABA"/>
    <w:rsid w:val="429658CC"/>
    <w:rsid w:val="42C37978"/>
    <w:rsid w:val="42E94F55"/>
    <w:rsid w:val="43317379"/>
    <w:rsid w:val="439B5094"/>
    <w:rsid w:val="440A3726"/>
    <w:rsid w:val="44780FD8"/>
    <w:rsid w:val="44782D86"/>
    <w:rsid w:val="447D214A"/>
    <w:rsid w:val="44F93EC7"/>
    <w:rsid w:val="451707F1"/>
    <w:rsid w:val="455A0CE1"/>
    <w:rsid w:val="4567415F"/>
    <w:rsid w:val="45CD0EAF"/>
    <w:rsid w:val="45FD79E7"/>
    <w:rsid w:val="46A63BDA"/>
    <w:rsid w:val="46C72E58"/>
    <w:rsid w:val="46F32B98"/>
    <w:rsid w:val="470152B5"/>
    <w:rsid w:val="475F16FC"/>
    <w:rsid w:val="476F66C2"/>
    <w:rsid w:val="479C6D8B"/>
    <w:rsid w:val="47BC0081"/>
    <w:rsid w:val="47DE1152"/>
    <w:rsid w:val="47F40975"/>
    <w:rsid w:val="47F824F3"/>
    <w:rsid w:val="481F2F1C"/>
    <w:rsid w:val="486C0E54"/>
    <w:rsid w:val="4968161B"/>
    <w:rsid w:val="49964EA3"/>
    <w:rsid w:val="49995C78"/>
    <w:rsid w:val="4A182708"/>
    <w:rsid w:val="4A4E5201"/>
    <w:rsid w:val="4A6873F9"/>
    <w:rsid w:val="4A6F2535"/>
    <w:rsid w:val="4AD131F0"/>
    <w:rsid w:val="4AF313B8"/>
    <w:rsid w:val="4AF8077D"/>
    <w:rsid w:val="4BA206E8"/>
    <w:rsid w:val="4CAA1F4A"/>
    <w:rsid w:val="4CBA55E1"/>
    <w:rsid w:val="4D275349"/>
    <w:rsid w:val="4D98130A"/>
    <w:rsid w:val="4DA60969"/>
    <w:rsid w:val="4DB210B7"/>
    <w:rsid w:val="4DB52955"/>
    <w:rsid w:val="4DCC33BD"/>
    <w:rsid w:val="4DFB6410"/>
    <w:rsid w:val="4DFF1E22"/>
    <w:rsid w:val="4E593C28"/>
    <w:rsid w:val="4E8A5B90"/>
    <w:rsid w:val="4EBC2D80"/>
    <w:rsid w:val="4EBC7D13"/>
    <w:rsid w:val="4ED137BE"/>
    <w:rsid w:val="4F021BCA"/>
    <w:rsid w:val="4F073684"/>
    <w:rsid w:val="4F2761BD"/>
    <w:rsid w:val="4F8C5937"/>
    <w:rsid w:val="4FB422CC"/>
    <w:rsid w:val="4FB82BD0"/>
    <w:rsid w:val="4FB928EA"/>
    <w:rsid w:val="501E6ED7"/>
    <w:rsid w:val="503438F6"/>
    <w:rsid w:val="505E20CA"/>
    <w:rsid w:val="50697A27"/>
    <w:rsid w:val="50755C56"/>
    <w:rsid w:val="507E1D8E"/>
    <w:rsid w:val="510B6F63"/>
    <w:rsid w:val="510E29EB"/>
    <w:rsid w:val="51165E00"/>
    <w:rsid w:val="51F00C9C"/>
    <w:rsid w:val="51F47385"/>
    <w:rsid w:val="520A3851"/>
    <w:rsid w:val="524644C3"/>
    <w:rsid w:val="52702DE3"/>
    <w:rsid w:val="52815E39"/>
    <w:rsid w:val="52880638"/>
    <w:rsid w:val="52A06B10"/>
    <w:rsid w:val="52B15DE1"/>
    <w:rsid w:val="52D229F0"/>
    <w:rsid w:val="52F21F55"/>
    <w:rsid w:val="53055B12"/>
    <w:rsid w:val="530C4997"/>
    <w:rsid w:val="53876B42"/>
    <w:rsid w:val="53894668"/>
    <w:rsid w:val="53A414A2"/>
    <w:rsid w:val="53B96779"/>
    <w:rsid w:val="541F6D7A"/>
    <w:rsid w:val="54C8481F"/>
    <w:rsid w:val="54FA66E2"/>
    <w:rsid w:val="55433B6B"/>
    <w:rsid w:val="55850C01"/>
    <w:rsid w:val="55A0038E"/>
    <w:rsid w:val="55A41C2D"/>
    <w:rsid w:val="56010CFF"/>
    <w:rsid w:val="562316F8"/>
    <w:rsid w:val="567761A2"/>
    <w:rsid w:val="568E01E7"/>
    <w:rsid w:val="569533E6"/>
    <w:rsid w:val="56FC5864"/>
    <w:rsid w:val="572528F9"/>
    <w:rsid w:val="572823EA"/>
    <w:rsid w:val="57325016"/>
    <w:rsid w:val="57462870"/>
    <w:rsid w:val="57590B3F"/>
    <w:rsid w:val="57596A47"/>
    <w:rsid w:val="579D6934"/>
    <w:rsid w:val="57B97CF8"/>
    <w:rsid w:val="57EE28CF"/>
    <w:rsid w:val="58C074BE"/>
    <w:rsid w:val="58C3686E"/>
    <w:rsid w:val="58E442E2"/>
    <w:rsid w:val="58F22CAF"/>
    <w:rsid w:val="58F34786"/>
    <w:rsid w:val="58FE78A6"/>
    <w:rsid w:val="590257DB"/>
    <w:rsid w:val="592F03B7"/>
    <w:rsid w:val="592F79B2"/>
    <w:rsid w:val="59412B2A"/>
    <w:rsid w:val="598D4786"/>
    <w:rsid w:val="5A094754"/>
    <w:rsid w:val="5A2F4E06"/>
    <w:rsid w:val="5A755946"/>
    <w:rsid w:val="5A7B4A1C"/>
    <w:rsid w:val="5A7C4F26"/>
    <w:rsid w:val="5AAC50E0"/>
    <w:rsid w:val="5AB32912"/>
    <w:rsid w:val="5ACC12DE"/>
    <w:rsid w:val="5AE87324"/>
    <w:rsid w:val="5B016FC5"/>
    <w:rsid w:val="5B150ED7"/>
    <w:rsid w:val="5B5639C9"/>
    <w:rsid w:val="5B5F03A4"/>
    <w:rsid w:val="5B804F69"/>
    <w:rsid w:val="5BB73D3C"/>
    <w:rsid w:val="5BC052E6"/>
    <w:rsid w:val="5BD14DFE"/>
    <w:rsid w:val="5BFA56A2"/>
    <w:rsid w:val="5C334CD9"/>
    <w:rsid w:val="5C447CC6"/>
    <w:rsid w:val="5CBF734C"/>
    <w:rsid w:val="5D047455"/>
    <w:rsid w:val="5D916F3A"/>
    <w:rsid w:val="5D9A3915"/>
    <w:rsid w:val="5DDB31D6"/>
    <w:rsid w:val="5DE11544"/>
    <w:rsid w:val="5E167440"/>
    <w:rsid w:val="5E203E1A"/>
    <w:rsid w:val="5E24290B"/>
    <w:rsid w:val="5E361890"/>
    <w:rsid w:val="5E5C0F3E"/>
    <w:rsid w:val="5EBF1FB1"/>
    <w:rsid w:val="5EDA0D81"/>
    <w:rsid w:val="5F530220"/>
    <w:rsid w:val="600D4872"/>
    <w:rsid w:val="602A2D2E"/>
    <w:rsid w:val="608F34D9"/>
    <w:rsid w:val="60FD0443"/>
    <w:rsid w:val="611B6B1B"/>
    <w:rsid w:val="612E29D1"/>
    <w:rsid w:val="615F4C5A"/>
    <w:rsid w:val="61614A07"/>
    <w:rsid w:val="6161543A"/>
    <w:rsid w:val="61D03DA9"/>
    <w:rsid w:val="61F973A6"/>
    <w:rsid w:val="620A09E6"/>
    <w:rsid w:val="62426A55"/>
    <w:rsid w:val="62A579EA"/>
    <w:rsid w:val="62B074ED"/>
    <w:rsid w:val="62D82F16"/>
    <w:rsid w:val="63332681"/>
    <w:rsid w:val="6342476E"/>
    <w:rsid w:val="63620A31"/>
    <w:rsid w:val="64446389"/>
    <w:rsid w:val="6445282D"/>
    <w:rsid w:val="64490689"/>
    <w:rsid w:val="64772BA6"/>
    <w:rsid w:val="649410BE"/>
    <w:rsid w:val="65390AAF"/>
    <w:rsid w:val="65566374"/>
    <w:rsid w:val="65A417D5"/>
    <w:rsid w:val="65A82571"/>
    <w:rsid w:val="65CB4FB4"/>
    <w:rsid w:val="65EB34E2"/>
    <w:rsid w:val="66540DEB"/>
    <w:rsid w:val="668A46E8"/>
    <w:rsid w:val="66C7577B"/>
    <w:rsid w:val="674566A0"/>
    <w:rsid w:val="67674868"/>
    <w:rsid w:val="678274C8"/>
    <w:rsid w:val="67941A60"/>
    <w:rsid w:val="67980EC5"/>
    <w:rsid w:val="67B657F0"/>
    <w:rsid w:val="67E05C8B"/>
    <w:rsid w:val="682664D1"/>
    <w:rsid w:val="68AF3F6D"/>
    <w:rsid w:val="68C66268"/>
    <w:rsid w:val="68CA1553"/>
    <w:rsid w:val="69076303"/>
    <w:rsid w:val="69C064B2"/>
    <w:rsid w:val="69C81D1D"/>
    <w:rsid w:val="6A8A6A26"/>
    <w:rsid w:val="6BC154C5"/>
    <w:rsid w:val="6CF03552"/>
    <w:rsid w:val="6D2E7C79"/>
    <w:rsid w:val="6D4B2536"/>
    <w:rsid w:val="6D8C0719"/>
    <w:rsid w:val="6DDB1B0C"/>
    <w:rsid w:val="6E6724D5"/>
    <w:rsid w:val="6EF236DF"/>
    <w:rsid w:val="6F4153E0"/>
    <w:rsid w:val="70650803"/>
    <w:rsid w:val="707A2CDA"/>
    <w:rsid w:val="70D34D1C"/>
    <w:rsid w:val="70D624AE"/>
    <w:rsid w:val="70E46F2A"/>
    <w:rsid w:val="71025575"/>
    <w:rsid w:val="7105511A"/>
    <w:rsid w:val="717B0325"/>
    <w:rsid w:val="718D136F"/>
    <w:rsid w:val="72004F7C"/>
    <w:rsid w:val="725A59F9"/>
    <w:rsid w:val="727758E7"/>
    <w:rsid w:val="72834A04"/>
    <w:rsid w:val="72C9287B"/>
    <w:rsid w:val="73035661"/>
    <w:rsid w:val="73172CAC"/>
    <w:rsid w:val="735B7F50"/>
    <w:rsid w:val="73EC4A73"/>
    <w:rsid w:val="73EF1E6D"/>
    <w:rsid w:val="74253AE1"/>
    <w:rsid w:val="7455788A"/>
    <w:rsid w:val="74BA03FA"/>
    <w:rsid w:val="74E956C4"/>
    <w:rsid w:val="75137DDD"/>
    <w:rsid w:val="75581C94"/>
    <w:rsid w:val="757A4300"/>
    <w:rsid w:val="75A814DF"/>
    <w:rsid w:val="75DB26A7"/>
    <w:rsid w:val="7614205F"/>
    <w:rsid w:val="761E742E"/>
    <w:rsid w:val="764206AB"/>
    <w:rsid w:val="766A6123"/>
    <w:rsid w:val="76795419"/>
    <w:rsid w:val="76937428"/>
    <w:rsid w:val="76E2215D"/>
    <w:rsid w:val="779C230C"/>
    <w:rsid w:val="77C047E1"/>
    <w:rsid w:val="77EE2B1F"/>
    <w:rsid w:val="77F5475E"/>
    <w:rsid w:val="77F75794"/>
    <w:rsid w:val="78280044"/>
    <w:rsid w:val="784B788E"/>
    <w:rsid w:val="786646C8"/>
    <w:rsid w:val="787C3CB3"/>
    <w:rsid w:val="789254BD"/>
    <w:rsid w:val="78B7290A"/>
    <w:rsid w:val="78C7160B"/>
    <w:rsid w:val="78EA3B44"/>
    <w:rsid w:val="79035E58"/>
    <w:rsid w:val="792007A7"/>
    <w:rsid w:val="797A48CF"/>
    <w:rsid w:val="79876FEC"/>
    <w:rsid w:val="79B814DA"/>
    <w:rsid w:val="79FC06DB"/>
    <w:rsid w:val="7A122D59"/>
    <w:rsid w:val="7A642E48"/>
    <w:rsid w:val="7A6B4218"/>
    <w:rsid w:val="7AAA316A"/>
    <w:rsid w:val="7AC0743F"/>
    <w:rsid w:val="7AD1051F"/>
    <w:rsid w:val="7B454A69"/>
    <w:rsid w:val="7B75534E"/>
    <w:rsid w:val="7B917CAE"/>
    <w:rsid w:val="7BB37C24"/>
    <w:rsid w:val="7BD1454E"/>
    <w:rsid w:val="7C0D1A2A"/>
    <w:rsid w:val="7C4443B0"/>
    <w:rsid w:val="7CFD4AA5"/>
    <w:rsid w:val="7CFF2350"/>
    <w:rsid w:val="7D2D0A25"/>
    <w:rsid w:val="7D3A4883"/>
    <w:rsid w:val="7D671BE7"/>
    <w:rsid w:val="7D9D6DDE"/>
    <w:rsid w:val="7DA168CE"/>
    <w:rsid w:val="7DAB14FB"/>
    <w:rsid w:val="7E1075B0"/>
    <w:rsid w:val="7E17093E"/>
    <w:rsid w:val="7E461224"/>
    <w:rsid w:val="7E775881"/>
    <w:rsid w:val="7EF742CC"/>
    <w:rsid w:val="7F032C71"/>
    <w:rsid w:val="7F2D4191"/>
    <w:rsid w:val="7F2D5F40"/>
    <w:rsid w:val="7F453223"/>
    <w:rsid w:val="7F842003"/>
    <w:rsid w:val="7FC93EBA"/>
    <w:rsid w:val="7FD52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unhideWhenUsed/>
    <w:qFormat/>
    <w:uiPriority w:val="99"/>
  </w:style>
  <w:style w:type="paragraph" w:styleId="3">
    <w:name w:val="footer"/>
    <w:basedOn w:val="1"/>
    <w:link w:val="14"/>
    <w:unhideWhenUsed/>
    <w:qFormat/>
    <w:uiPriority w:val="99"/>
    <w:pPr>
      <w:tabs>
        <w:tab w:val="center" w:pos="4153"/>
        <w:tab w:val="right" w:pos="8306"/>
      </w:tabs>
      <w:snapToGrid w:val="0"/>
      <w:spacing w:line="240" w:lineRule="auto"/>
    </w:pPr>
    <w:rPr>
      <w:sz w:val="18"/>
      <w:szCs w:val="18"/>
    </w:rPr>
  </w:style>
  <w:style w:type="paragraph" w:styleId="4">
    <w:name w:val="header"/>
    <w:basedOn w:val="1"/>
    <w:link w:val="13"/>
    <w:unhideWhenUsed/>
    <w:qFormat/>
    <w:uiPriority w:val="99"/>
    <w:pPr>
      <w:tabs>
        <w:tab w:val="center" w:pos="4153"/>
        <w:tab w:val="right" w:pos="8306"/>
      </w:tabs>
      <w:snapToGrid w:val="0"/>
      <w:spacing w:line="240" w:lineRule="auto"/>
      <w:jc w:val="center"/>
    </w:pPr>
    <w:rPr>
      <w:sz w:val="18"/>
      <w:szCs w:val="18"/>
    </w:rPr>
  </w:style>
  <w:style w:type="paragraph" w:styleId="5">
    <w:name w:val="Normal (Web)"/>
    <w:basedOn w:val="1"/>
    <w:semiHidden/>
    <w:unhideWhenUsed/>
    <w:qFormat/>
    <w:uiPriority w:val="99"/>
    <w:pPr>
      <w:spacing w:beforeAutospacing="1" w:after="0" w:afterAutospacing="1"/>
    </w:pPr>
    <w:rPr>
      <w:rFonts w:cs="Times New Roman"/>
      <w:kern w:val="0"/>
      <w:sz w:val="24"/>
    </w:rPr>
  </w:style>
  <w:style w:type="paragraph" w:styleId="6">
    <w:name w:val="Title"/>
    <w:basedOn w:val="1"/>
    <w:link w:val="12"/>
    <w:qFormat/>
    <w:uiPriority w:val="0"/>
    <w:pPr>
      <w:spacing w:before="240" w:after="60" w:line="240" w:lineRule="auto"/>
      <w:jc w:val="center"/>
      <w:outlineLvl w:val="0"/>
    </w:pPr>
    <w:rPr>
      <w:rFonts w:ascii="Arial" w:hAnsi="Arial" w:eastAsia="宋体" w:cs="Times New Roman"/>
      <w:b/>
      <w:sz w:val="32"/>
      <w14:ligatures w14:val="none"/>
    </w:rPr>
  </w:style>
  <w:style w:type="paragraph" w:styleId="7">
    <w:name w:val="annotation subject"/>
    <w:basedOn w:val="2"/>
    <w:next w:val="2"/>
    <w:link w:val="20"/>
    <w:semiHidden/>
    <w:unhideWhenUsed/>
    <w:qFormat/>
    <w:uiPriority w:val="99"/>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character" w:customStyle="1" w:styleId="12">
    <w:name w:val="标题 字符"/>
    <w:basedOn w:val="10"/>
    <w:link w:val="6"/>
    <w:qFormat/>
    <w:uiPriority w:val="0"/>
    <w:rPr>
      <w:rFonts w:ascii="Arial" w:hAnsi="Arial" w:eastAsia="宋体" w:cs="Times New Roman"/>
      <w:b/>
      <w:sz w:val="32"/>
      <w14:ligatures w14:val="none"/>
    </w:rPr>
  </w:style>
  <w:style w:type="character" w:customStyle="1" w:styleId="13">
    <w:name w:val="页眉 字符"/>
    <w:basedOn w:val="10"/>
    <w:link w:val="4"/>
    <w:qFormat/>
    <w:uiPriority w:val="99"/>
    <w:rPr>
      <w:sz w:val="18"/>
      <w:szCs w:val="18"/>
    </w:rPr>
  </w:style>
  <w:style w:type="character" w:customStyle="1" w:styleId="14">
    <w:name w:val="页脚 字符"/>
    <w:basedOn w:val="10"/>
    <w:link w:val="3"/>
    <w:qFormat/>
    <w:uiPriority w:val="99"/>
    <w:rPr>
      <w:sz w:val="18"/>
      <w:szCs w:val="18"/>
    </w:rPr>
  </w:style>
  <w:style w:type="paragraph" w:styleId="15">
    <w:name w:val="List Paragraph"/>
    <w:basedOn w:val="1"/>
    <w:qFormat/>
    <w:uiPriority w:val="34"/>
    <w:pPr>
      <w:ind w:firstLine="420" w:firstLineChars="200"/>
    </w:pPr>
  </w:style>
  <w:style w:type="paragraph" w:customStyle="1" w:styleId="16">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17">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18">
    <w:name w:val="修订3"/>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19">
    <w:name w:val="批注文字 字符"/>
    <w:basedOn w:val="10"/>
    <w:link w:val="2"/>
    <w:qFormat/>
    <w:uiPriority w:val="99"/>
    <w:rPr>
      <w:rFonts w:asciiTheme="minorHAnsi" w:hAnsiTheme="minorHAnsi" w:eastAsiaTheme="minorEastAsia" w:cstheme="minorBidi"/>
      <w:kern w:val="2"/>
      <w:sz w:val="22"/>
      <w:szCs w:val="24"/>
      <w14:ligatures w14:val="standardContextual"/>
    </w:rPr>
  </w:style>
  <w:style w:type="character" w:customStyle="1" w:styleId="20">
    <w:name w:val="批注主题 字符"/>
    <w:basedOn w:val="19"/>
    <w:link w:val="7"/>
    <w:semiHidden/>
    <w:qFormat/>
    <w:uiPriority w:val="99"/>
    <w:rPr>
      <w:rFonts w:asciiTheme="minorHAnsi" w:hAnsiTheme="minorHAnsi" w:eastAsiaTheme="minorEastAsia" w:cstheme="minorBidi"/>
      <w:b/>
      <w:bCs/>
      <w:kern w:val="2"/>
      <w:sz w:val="22"/>
      <w:szCs w:val="24"/>
      <w14:ligatures w14:val="standardContextual"/>
    </w:rPr>
  </w:style>
  <w:style w:type="paragraph" w:customStyle="1" w:styleId="21">
    <w:name w:val="修订4"/>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22">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c56e1b19-1a40-45cc-82ce-9202d8603af4</errorID>
      <errorWord>intel</errorWord>
      <group>L1_English</group>
      <groupName>英文问题</groupName>
      <ability>L2_Case</ability>
      <abilityName>大小写问题</abilityName>
      <candidateList>
        <item>Intel</item>
      </candidateList>
      <explain>疑似单词大小写错误，建议将intel修改为Intel</explain>
      <paraID>7B68DBFB</paraID>
      <start>25</start>
      <end>30</end>
      <status>unmodified</status>
      <modifiedWord/>
      <trackRevisions>false</trackRevisions>
    </reviewItem>
    <reviewItem>
      <errorID>c247a94f-f42c-4ab9-8ff1-3aaad1ee8ac5</errorID>
      <errorWord>rpm</errorWord>
      <group>L1_Knowledge</group>
      <groupName>知识性问题</groupName>
      <ability>L2_Knowledge</ability>
      <abilityName>其他知识</abilityName>
      <candidateList/>
      <explain>非法定单位</explain>
      <paraID>511567D2</paraID>
      <start>53</start>
      <end>56</end>
      <status>unmodified</status>
      <modifiedWord/>
      <trackRevisions>false</trackRevisions>
    </reviewItem>
    <reviewItem>
      <errorID>58339e35-f4ae-40a8-a48c-d81f45d271bf</errorID>
      <errorWord>intel</errorWord>
      <group>L1_English</group>
      <groupName>英文问题</groupName>
      <ability>L2_Case</ability>
      <abilityName>大小写问题</abilityName>
      <candidateList>
        <item>Intel</item>
      </candidateList>
      <explain>疑似单词大小写错误，建议将intel修改为Intel</explain>
      <paraID>3859F94B</paraID>
      <start>25</start>
      <end>30</end>
      <status>unmodified</status>
      <modifiedWord/>
      <trackRevisions>false</trackRevisions>
    </reviewItem>
    <reviewItem>
      <errorID>18fa4208-15f6-4db7-b6bc-9774b7689464</errorID>
      <errorWord>rpm</errorWord>
      <group>L1_Knowledge</group>
      <groupName>知识性问题</groupName>
      <ability>L2_Knowledge</ability>
      <abilityName>其他知识</abilityName>
      <candidateList/>
      <explain>非法定单位</explain>
      <paraID>277454CB</paraID>
      <start>53</start>
      <end>56</end>
      <status>unmodified</status>
      <modifiedWord/>
      <trackRevisions>false</trackRevisions>
    </reviewItem>
    <reviewItem>
      <errorID>3dafcee6-034d-49f2-ab01-5a2849873ddc</errorID>
      <errorWord>须</errorWord>
      <group>L1_Word</group>
      <groupName>字词问题</groupName>
      <ability>L2_Typo</ability>
      <abilityName>字词错误</abilityName>
      <candidateList>
        <item>需</item>
      </candidateList>
      <explain>存在发音相同字词的误用。</explain>
      <paraID>30184404</paraID>
      <start>3</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C62836-4876-4A90-9906-6A96EEA95B62}">
  <ds:schemaRefs/>
</ds:datastoreItem>
</file>

<file path=docProps/app.xml><?xml version="1.0" encoding="utf-8"?>
<Properties xmlns="http://schemas.openxmlformats.org/officeDocument/2006/extended-properties" xmlns:vt="http://schemas.openxmlformats.org/officeDocument/2006/docPropsVTypes">
  <Template>Normal.dotm</Template>
  <Pages>4</Pages>
  <Words>3293</Words>
  <Characters>4002</Characters>
  <Lines>120</Lines>
  <Paragraphs>95</Paragraphs>
  <TotalTime>59</TotalTime>
  <ScaleCrop>false</ScaleCrop>
  <LinksUpToDate>false</LinksUpToDate>
  <CharactersWithSpaces>4078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2026-05-28T04:32:00Z</dcterms:created>
  <dc:creator>曦 晨</dc:creator>
  <cp:lastModifiedBy>医信中心</cp:lastModifiedBy>
  <cp:lastPrinted>2026-08-07T09:18:00Z</cp:lastPrinted>
  <dcterms:modified xsi:type="dcterms:W3CDTF">2026-08-31T00:48:59Z</dcterms:modified>
  <cp:revision>156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F4B1B1B2729B41218432BC00ED96C368_13</vt:lpwstr>
  </property>
  <property fmtid="{D5CDD505-2E9C-101B-9397-08002B2CF9AE}" pid="4" name="KSOTemplateDocerSaveRecord">
    <vt:lpwstr>eyJoZGlkIjoiZjc2NzhhMGJhYjYxNzk4NzgwNjc5MTE4ZjFmMzI0MTUiLCJ1c2VySWQiOiI0NDkzNjAxODIifQ==</vt:lpwstr>
  </property>
</Properties>
</file>