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3A16">
      <w:pPr>
        <w:pStyle w:val="20"/>
        <w:jc w:val="center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临床研究及医疗新技术项目管理模块</w:t>
      </w:r>
    </w:p>
    <w:p w14:paraId="79E71AA2">
      <w:pPr>
        <w:pStyle w:val="20"/>
        <w:jc w:val="center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功能需求说明</w:t>
      </w:r>
    </w:p>
    <w:p w14:paraId="42FBB3B8">
      <w:pPr>
        <w:pStyle w:val="20"/>
        <w:jc w:val="both"/>
        <w:rPr>
          <w:rFonts w:hint="default"/>
          <w:b w:val="0"/>
          <w:bCs w:val="0"/>
        </w:rPr>
      </w:pPr>
    </w:p>
    <w:p w14:paraId="6B4ECF91">
      <w:pPr>
        <w:pStyle w:val="22"/>
        <w:spacing w:beforeLines="50" w:afterLines="50"/>
        <w:ind w:firstLine="0" w:firstLineChars="0"/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bookmarkStart w:id="0" w:name="heading_0"/>
      <w:r>
        <w:rPr>
          <w:b w:val="0"/>
          <w:bCs w:val="0"/>
          <w:sz w:val="32"/>
          <w:szCs w:val="32"/>
          <w:lang w:eastAsia="zh-CN"/>
        </w:rPr>
        <w:t>第一部分：系统总体概述</w:t>
      </w:r>
      <w:bookmarkEnd w:id="0"/>
    </w:p>
    <w:p w14:paraId="48C9CDD9">
      <w:pPr>
        <w:pStyle w:val="17"/>
        <w:ind w:firstLine="560"/>
        <w:rPr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  <w:lang w:eastAsia="zh-CN"/>
        </w:rPr>
        <w:t>本需求针对南京百子莲软件科技有限公司现有“伦理审查电子信息系统”进行功能扩展，增设IIT项目（研究者发起的临床研究）、医疗新技术项目的科学性审查及立项管理相关功能模块，实现两类项目从申报、科学性审查（含快速/会议审查）、立项审批、多部门协同会签到项目归档的全生命周期线上化管理；新增模块需与原有伦理审查系统无缝对接，复用原有系统核心能力，支持多角色权限分离、专家库管理、在线审阅留痕、自动通知提醒及支持电子盖章，实现流程规范化、管理高效化，无需新增采购整套系统。</w:t>
      </w:r>
    </w:p>
    <w:p w14:paraId="04F920F0">
      <w:pPr>
        <w:pStyle w:val="17"/>
        <w:ind w:firstLine="560"/>
        <w:rPr>
          <w:b w:val="0"/>
          <w:bCs w:val="0"/>
          <w:sz w:val="28"/>
          <w:szCs w:val="28"/>
          <w:lang w:eastAsia="zh-CN"/>
        </w:rPr>
      </w:pPr>
    </w:p>
    <w:p w14:paraId="09A11F57">
      <w:pPr>
        <w:pStyle w:val="22"/>
        <w:spacing w:beforeLines="50" w:afterLines="50"/>
        <w:ind w:firstLine="0" w:firstLineChars="0"/>
        <w:jc w:val="center"/>
        <w:rPr>
          <w:rFonts w:hint="default"/>
          <w:b w:val="0"/>
          <w:bCs w:val="0"/>
          <w:sz w:val="32"/>
          <w:szCs w:val="32"/>
          <w:lang w:eastAsia="zh-CN"/>
        </w:rPr>
      </w:pPr>
      <w:bookmarkStart w:id="1" w:name="heading_1"/>
      <w:r>
        <w:rPr>
          <w:b w:val="0"/>
          <w:bCs w:val="0"/>
          <w:sz w:val="32"/>
          <w:szCs w:val="32"/>
          <w:lang w:eastAsia="zh-CN"/>
        </w:rPr>
        <w:t>第二部分：系统功能模块清单及详细描述</w:t>
      </w:r>
      <w:bookmarkEnd w:id="1"/>
    </w:p>
    <w:tbl>
      <w:tblPr>
        <w:tblStyle w:val="7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2177"/>
        <w:gridCol w:w="4586"/>
      </w:tblGrid>
      <w:tr w14:paraId="69F0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4BA8A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一级模块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8C965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二级功能点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9B20E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功能详细描述</w:t>
            </w:r>
          </w:p>
        </w:tc>
      </w:tr>
      <w:tr w14:paraId="1B0C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6AB9C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 工作门户与通知中心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C280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1.1 待办/已办事项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8B754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为秘书、专家、主任委员、研究者等不同角色，提供个性化待处理任务列表，按紧急程度排序，方便快速处理工作。</w:t>
            </w:r>
          </w:p>
        </w:tc>
      </w:tr>
      <w:tr w14:paraId="193B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E09D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D7D3B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1.2 通知公告发布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E02A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秘书可发布通知，支持附件上传、置顶操作，可按角色定向推送，确保通知精准触达。</w:t>
            </w:r>
          </w:p>
        </w:tc>
      </w:tr>
      <w:tr w14:paraId="295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E4917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B2FA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1.3 短信/邮件集成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8FE1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流程变更、专家指派、审查结果反馈、立项通过等关键节点，系统自动发送短信/邮件提醒相关人员；支持短信模板管理，可灵活配置提醒内容。</w:t>
            </w:r>
          </w:p>
        </w:tc>
      </w:tr>
    </w:tbl>
    <w:p w14:paraId="785B0A46"/>
    <w:tbl>
      <w:tblPr>
        <w:tblStyle w:val="7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2177"/>
        <w:gridCol w:w="4586"/>
      </w:tblGrid>
      <w:tr w14:paraId="1BB6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775B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 用户与角色权限管理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A5D0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2.1 角色定义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C81A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预设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临床研究中心秘书、临床研究中心主任、评审专家、医务部秘书、医务部主任、财务、医疗保险科、科主任、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主要研究者（PI）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等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管理部门人员等角色，覆盖全流程参与方。</w:t>
            </w:r>
          </w:p>
        </w:tc>
      </w:tr>
      <w:tr w14:paraId="198B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E76C7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9F6E3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2.2 权限分配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7B8B3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支持按角色、具体人员、组织架构细粒度管控，涵盖菜单访问权限、数据查看范围、操作按钮权限，确保权限精准分配。</w:t>
            </w:r>
          </w:p>
        </w:tc>
      </w:tr>
      <w:tr w14:paraId="7206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FDEF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AE4EC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2.3 专家库管理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DA6F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支持专家信息（研究方向、单位、联系方式、评审记录）批量导入/单个新增；支持专家分组、标签化管理，可统计专家在线状态及评审工作量。</w:t>
            </w:r>
          </w:p>
        </w:tc>
      </w:tr>
      <w:tr w14:paraId="2107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1FC1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 项目申报与受理</w:t>
            </w:r>
          </w:p>
          <w:p w14:paraId="20F3211B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B3A0E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3.1 项目类型区分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2608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系统自动区分“医疗新技术申请”与“IIT项目申请”，两种类型审批流程路径可在原有南京百子莲“伦理审查电子信息系统”后台配置，与原有伦理审查流程协同适配，满足不同业务需求。</w:t>
            </w:r>
          </w:p>
        </w:tc>
      </w:tr>
      <w:tr w14:paraId="001E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E225E4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33FD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 在线填报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40D1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申请人（PI或科研助手）在原有南京百子莲“伦理审查电子信息系统”内在线填写申请表，上传伦理批件（可复用原有系统伦理批件数据）、研究方案、知情同意书等附件；支持草稿暂存、必填项校验，避免填报遗漏，与原有系统填报操作逻辑保持一致。</w:t>
            </w:r>
          </w:p>
        </w:tc>
      </w:tr>
      <w:tr w14:paraId="7A1C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DA7C5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459E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3.3 文件模板下载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F7B1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支持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提供标准化申请书、汇报PPT等模板在线下载，确保申报材料格式统一规范。</w:t>
            </w:r>
          </w:p>
        </w:tc>
      </w:tr>
      <w:tr w14:paraId="02A7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5FA037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 科学性审查核心流程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2BBE5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4.1 秘书形式审查与分类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BC7E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秘书接收项目后，核查材料完整性、格式规范性；按风险等级分类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选择审查方式</w:t>
            </w:r>
          </w:p>
        </w:tc>
      </w:tr>
    </w:tbl>
    <w:p w14:paraId="3083439C"/>
    <w:p w14:paraId="4C039CBB"/>
    <w:tbl>
      <w:tblPr>
        <w:tblStyle w:val="7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1964"/>
        <w:gridCol w:w="4799"/>
      </w:tblGrid>
      <w:tr w14:paraId="3E8F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D3884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978A9">
            <w:pPr>
              <w:pStyle w:val="17"/>
              <w:spacing w:line="240" w:lineRule="auto"/>
              <w:ind w:firstLine="0" w:firstLineChars="0"/>
              <w:jc w:val="center"/>
              <w:rPr>
                <w:rFonts w:hint="default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4.2 PI自行审查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AF544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秘书可在线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选择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主要研究者（PI）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进行审查，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PI登录后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在线填写审查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工作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表、勾选审批结论（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具备科学性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按上述意见修改后再审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不具备科学性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），系统自动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生成审查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意见。</w:t>
            </w:r>
          </w:p>
        </w:tc>
      </w:tr>
      <w:tr w14:paraId="7906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A164B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D642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4.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 xml:space="preserve"> 专家快速审查（在线函审）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4A2A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秘书可在线勾选或按专业领域随机筛选专家指派；专家登录后可在线预览PDF文件，审查材料后可对形审通过的文件添加水印，在线填写审查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工作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表、勾选审批结论（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具备科学性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按上述意见修改后再审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不具备科学性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），系统自动汇总专家意见。</w:t>
            </w:r>
          </w:p>
        </w:tc>
      </w:tr>
      <w:tr w14:paraId="6CF1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A6ABA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C61C64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b w:val="0"/>
                <w:bCs w:val="0"/>
                <w:sz w:val="28"/>
                <w:szCs w:val="28"/>
              </w:rPr>
              <w:t xml:space="preserve"> 会议审查管理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554E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秘书创建会议日程、关联待审项目、生成会议议程表；会议现场支持大屏展示项目摘要，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主任委员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及专家在线投票表决，系统自动计票并生成会议纪要。</w:t>
            </w:r>
          </w:p>
        </w:tc>
      </w:tr>
      <w:tr w14:paraId="02B0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B538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3CB40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主任委员终审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0099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汇总快速审查或会议审查结果后，推送至主任委员进行最终确认签字，完成审查闭环。</w:t>
            </w:r>
          </w:p>
        </w:tc>
      </w:tr>
      <w:tr w14:paraId="03DE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7E956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5. 立项管理与多部门流转</w:t>
            </w: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D8C0D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5.1 立项任务书生成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58F0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审查通过后，秘书可在线生成带水印的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《科学性审查意见》、《机构立项意见》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或《任务书》，确保文件规范性和唯一性。</w:t>
            </w:r>
          </w:p>
        </w:tc>
      </w:tr>
      <w:tr w14:paraId="159E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6114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A221B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5.2 多部门横向会签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E5B5E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立项后，秘书发起横向流转流程，将项目文件推送至财务部、医务部等指定部门；各部门管理员可在系统内填写意见并电子签名确认。</w:t>
            </w:r>
          </w:p>
        </w:tc>
      </w:tr>
      <w:tr w14:paraId="4D69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6CC157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9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B0740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5.3 项目状态看板</w:t>
            </w:r>
          </w:p>
        </w:tc>
        <w:tc>
          <w:tcPr>
            <w:tcW w:w="47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C6DE5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直观展示各项目状态，包括形式审查中、专家评审中、会议审查中、立项会签中、已立项、已结题等，实现项目进度可视化。</w:t>
            </w:r>
          </w:p>
        </w:tc>
      </w:tr>
    </w:tbl>
    <w:p w14:paraId="692166B5"/>
    <w:p w14:paraId="455AE280"/>
    <w:p w14:paraId="12AA06D8"/>
    <w:tbl>
      <w:tblPr>
        <w:tblStyle w:val="7"/>
        <w:tblW w:w="8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2177"/>
        <w:gridCol w:w="4586"/>
      </w:tblGrid>
      <w:tr w14:paraId="4874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961BA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 文件流转与归档管理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904B9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6.1 全生命周期文件存储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CC76D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申报书、伦理批件（复用原有系统归档数据）、专家审查意见、会议纪要、立项文件、各部门签字页等，按项目独立归档，与原有伦理审查系统文件归档规则保持一致，支持打包下载，便于追溯查阅。</w:t>
            </w:r>
          </w:p>
        </w:tc>
      </w:tr>
      <w:tr w14:paraId="0217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B6F35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40240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6.2 文件版本控制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155A5C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文件修改后重新上传自动生成新版本，保留旧版本查阅痕迹，确保文件修改可追溯。</w:t>
            </w:r>
          </w:p>
        </w:tc>
      </w:tr>
      <w:tr w14:paraId="798C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B0E53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433EA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6.3 水印与防扩散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BF05D5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预览文件自动加载当前登录用户姓名+手机号水印，有效防止文件截图外泄，保障信息安全。</w:t>
            </w:r>
          </w:p>
        </w:tc>
      </w:tr>
      <w:tr w14:paraId="1ECA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B92C3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7. 电子签章与证书制作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1E8A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7.1 签章位置锁定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42B311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在通过审查的《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机构立项意见</w:t>
            </w:r>
            <w:r>
              <w:rPr>
                <w:b w:val="0"/>
                <w:bCs w:val="0"/>
                <w:sz w:val="28"/>
                <w:szCs w:val="28"/>
                <w:lang w:eastAsia="zh-CN"/>
              </w:rPr>
              <w:t>》等需盖章文件上，系统根据关键字自动定位盖章，确保签章位置准确。</w:t>
            </w:r>
          </w:p>
        </w:tc>
      </w:tr>
      <w:tr w14:paraId="2360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8098D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8. 统计查询与报表</w:t>
            </w: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4894AE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8.1 综合查询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4A947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支持按项目名称、申请人、申请年份、项目状态、专家姓名等多维度检索，快速获取所需项目信息。</w:t>
            </w:r>
          </w:p>
        </w:tc>
      </w:tr>
      <w:tr w14:paraId="224D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60E98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1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98B22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8.2 专家评审工作量统计</w:t>
            </w:r>
          </w:p>
        </w:tc>
        <w:tc>
          <w:tcPr>
            <w:tcW w:w="45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5CBFF">
            <w:pPr>
              <w:pStyle w:val="17"/>
              <w:spacing w:line="240" w:lineRule="auto"/>
              <w:ind w:firstLine="0" w:firstLineChars="0"/>
              <w:jc w:val="center"/>
              <w:rPr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b w:val="0"/>
                <w:bCs w:val="0"/>
                <w:sz w:val="28"/>
                <w:szCs w:val="28"/>
                <w:lang w:eastAsia="zh-CN"/>
              </w:rPr>
              <w:t>自动统计每位专家年度评审数量、平均评审时长、评审意见采纳率，为专家管理提供数据支撑。</w:t>
            </w:r>
          </w:p>
        </w:tc>
      </w:tr>
    </w:tbl>
    <w:p w14:paraId="2B7FFAA9">
      <w:pPr>
        <w:pStyle w:val="22"/>
        <w:ind w:firstLine="0" w:firstLineChars="0"/>
        <w:jc w:val="both"/>
        <w:rPr>
          <w:b w:val="0"/>
          <w:bCs w:val="0"/>
          <w:szCs w:val="28"/>
          <w:lang w:eastAsia="zh-CN"/>
        </w:rPr>
      </w:pPr>
      <w:bookmarkStart w:id="2" w:name="heading_5"/>
    </w:p>
    <w:p w14:paraId="61DC361B">
      <w:pPr>
        <w:pStyle w:val="22"/>
        <w:spacing w:beforeLines="50" w:afterLines="50"/>
        <w:ind w:firstLine="0" w:firstLineChars="0"/>
        <w:jc w:val="center"/>
        <w:rPr>
          <w:rFonts w:hint="default"/>
          <w:b w:val="0"/>
          <w:bCs w:val="0"/>
          <w:sz w:val="32"/>
          <w:szCs w:val="32"/>
          <w:lang w:eastAsia="zh-CN"/>
        </w:rPr>
      </w:pPr>
      <w:r>
        <w:rPr>
          <w:b w:val="0"/>
          <w:bCs w:val="0"/>
          <w:sz w:val="32"/>
          <w:szCs w:val="32"/>
          <w:lang w:eastAsia="zh-CN"/>
        </w:rPr>
        <w:t>第三部分：其他关键要求</w:t>
      </w:r>
      <w:bookmarkEnd w:id="2"/>
    </w:p>
    <w:p w14:paraId="1D35A2FB">
      <w:pPr>
        <w:spacing w:before="320" w:after="120" w:line="288" w:lineRule="auto"/>
        <w:ind w:firstLine="560"/>
        <w:jc w:val="both"/>
        <w:outlineLvl w:val="1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</w:pPr>
      <w:bookmarkStart w:id="3" w:name="heading_6"/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  <w:t>1. 安全性</w:t>
      </w:r>
      <w:bookmarkEnd w:id="3"/>
    </w:p>
    <w:p w14:paraId="3F98C906">
      <w:pPr>
        <w:pStyle w:val="17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符合医院信息系统</w:t>
      </w:r>
      <w:r>
        <w:rPr>
          <w:rFonts w:hint="default" w:ascii="Times New Roman" w:hAnsi="Times New Roman"/>
          <w:b w:val="0"/>
          <w:bCs w:val="0"/>
          <w:lang w:val="en-US" w:eastAsia="en-US"/>
        </w:rPr>
        <w:t>二级</w:t>
      </w:r>
      <w:r>
        <w:rPr>
          <w:rFonts w:ascii="Times New Roman" w:hAnsi="Times New Roman"/>
          <w:b w:val="0"/>
          <w:bCs w:val="0"/>
        </w:rPr>
        <w:t>等保要求，实现数据加密传输，操作日志保留不少于2年，保障系统及数据安全。</w:t>
      </w:r>
    </w:p>
    <w:p w14:paraId="65E38D15">
      <w:pPr>
        <w:spacing w:before="320" w:after="120" w:line="288" w:lineRule="auto"/>
        <w:ind w:firstLine="560"/>
        <w:jc w:val="both"/>
        <w:outlineLvl w:val="1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</w:pPr>
      <w:bookmarkStart w:id="4" w:name="heading_7"/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  <w:t>2. 可配置性</w:t>
      </w:r>
      <w:bookmarkEnd w:id="4"/>
    </w:p>
    <w:p w14:paraId="6F35EE6E">
      <w:pPr>
        <w:spacing w:before="120" w:after="120" w:line="288" w:lineRule="auto"/>
        <w:ind w:firstLine="560"/>
        <w:jc w:val="both"/>
        <w:rPr>
          <w:rFonts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流程节点、审查表单模板、短信模板、角色权限均支持后台可视化配置，可灵活适配未来制度变更。</w:t>
      </w:r>
    </w:p>
    <w:p w14:paraId="0FFEF510">
      <w:pPr>
        <w:spacing w:before="320" w:after="120" w:line="288" w:lineRule="auto"/>
        <w:ind w:firstLine="560"/>
        <w:jc w:val="both"/>
        <w:outlineLvl w:val="1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  <w:t>3. 接口要求</w:t>
      </w:r>
    </w:p>
    <w:p w14:paraId="6EEAAF74">
      <w:pPr>
        <w:spacing w:before="320" w:after="120" w:line="288" w:lineRule="auto"/>
        <w:ind w:firstLine="560"/>
        <w:jc w:val="both"/>
        <w:outlineLvl w:val="1"/>
        <w:rPr>
          <w:rFonts w:ascii="Times New Roman" w:hAnsi="Times New Roman" w:eastAsia="仿宋_GB2312" w:cs="Arial"/>
          <w:b w:val="0"/>
          <w:bCs w:val="0"/>
          <w:i w:val="0"/>
          <w:iCs w:val="0"/>
          <w:caps w:val="0"/>
          <w:snapToGrid w:val="0"/>
          <w:color w:val="000000"/>
          <w:spacing w:val="0"/>
          <w:sz w:val="32"/>
          <w:szCs w:val="21"/>
          <w:shd w:val="clear" w:fill="auto"/>
          <w:lang w:eastAsia="en-US"/>
          <w:woUserID w:val="0"/>
        </w:rPr>
      </w:pPr>
      <w:r>
        <w:rPr>
          <w:rFonts w:ascii="Times New Roman" w:hAnsi="Times New Roman" w:eastAsia="仿宋_GB2312" w:cs="Arial"/>
          <w:b w:val="0"/>
          <w:bCs w:val="0"/>
          <w:i w:val="0"/>
          <w:iCs w:val="0"/>
          <w:caps w:val="0"/>
          <w:snapToGrid w:val="0"/>
          <w:color w:val="000000"/>
          <w:spacing w:val="0"/>
          <w:sz w:val="32"/>
          <w:szCs w:val="21"/>
          <w:shd w:val="clear" w:fill="auto"/>
          <w:lang w:eastAsia="en-US"/>
          <w:woUserID w:val="0"/>
        </w:rPr>
        <w:t>要求对接的系统包括但不限于 HIS/EMR、集成平台等，新增模块需与南京百子莲的“伦理审查电子信息系统”已预留接口对接，并能与医院科研管理系统、试剂采购系统、OA系统（单点登录、统一待办）、财务系统、人力资源系统、生物样本库管理系统、短信平台、电子签章系统等系统对接，实现系统间数据互通及功能协同。以上所有对接费用均包含在本次报价内。</w:t>
      </w:r>
    </w:p>
    <w:p w14:paraId="79DFC21B">
      <w:pPr>
        <w:spacing w:before="320" w:after="120" w:line="288" w:lineRule="auto"/>
        <w:ind w:firstLine="560"/>
        <w:jc w:val="both"/>
        <w:outlineLvl w:val="1"/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000000"/>
          <w:sz w:val="32"/>
          <w:szCs w:val="21"/>
          <w:lang w:eastAsia="en-US"/>
        </w:rPr>
        <w:t>4. 售后服务</w:t>
      </w:r>
    </w:p>
    <w:p w14:paraId="066002EE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4.1 系统验收后三年内免费维护和升级</w:t>
      </w:r>
      <w:bookmarkStart w:id="5" w:name="_GoBack"/>
      <w:bookmarkEnd w:id="5"/>
    </w:p>
    <w:p w14:paraId="1985E65B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(1) 提供7×24小时技术支持（含节假日），如遇系统故障，0.5小时内电话响应，必要时4小时内赶到医院现场排除故障，保证医院工作的正常运行。</w:t>
      </w:r>
    </w:p>
    <w:p w14:paraId="06651019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(2) 系统日常技术维护和升级，包括但不限于日常监控、健康检查、数据备份、服务器重启等工作。</w:t>
      </w:r>
    </w:p>
    <w:p w14:paraId="6596191F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(3) 宕机和紧急故障救援：在系统运行过程中发生宕机或系统故障时，需包含上报、紧急处理、事后分析等流程。</w:t>
      </w:r>
    </w:p>
    <w:p w14:paraId="179BE728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(4) 系统用户培训：在运维过程中对新用户和新功能进行培训。</w:t>
      </w:r>
    </w:p>
    <w:p w14:paraId="733004EC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(5) 系统BUG修改及漏洞修复。</w:t>
      </w:r>
    </w:p>
    <w:p w14:paraId="610472B8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4.2 系统免费维护期后的维护约定</w:t>
      </w:r>
    </w:p>
    <w:p w14:paraId="222889ED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系统免维期结束后，乙方</w:t>
      </w:r>
      <w:r>
        <w:rPr>
          <w:rFonts w:hint="eastAsia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val="en-US" w:eastAsia="zh-CN"/>
        </w:rPr>
        <w:t>可以</w:t>
      </w: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实行有偿服务，服务费≤3万元/年。</w:t>
      </w:r>
    </w:p>
    <w:p w14:paraId="22748727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4.3 长期对接与配置调整承诺</w:t>
      </w:r>
    </w:p>
    <w:p w14:paraId="4C8A13DE">
      <w:pPr>
        <w:spacing w:before="320" w:after="120" w:line="288" w:lineRule="auto"/>
        <w:ind w:firstLine="560"/>
        <w:jc w:val="both"/>
        <w:outlineLvl w:val="1"/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</w:pPr>
      <w:r>
        <w:rPr>
          <w:rFonts w:hint="default" w:ascii="Times New Roman" w:hAnsi="Times New Roman" w:eastAsia="仿宋_GB2312" w:cs="Arial"/>
          <w:b w:val="0"/>
          <w:bCs w:val="0"/>
          <w:snapToGrid w:val="0"/>
          <w:color w:val="000000"/>
          <w:sz w:val="32"/>
          <w:szCs w:val="21"/>
          <w:lang w:eastAsia="en-US"/>
        </w:rPr>
        <w:t>指定一名责任工程师长期对接。在系统质保及维护期内，根据甲方要求随时调整后台可配置项（流程、表单、模板、权限），配置完成后提交变更记录，现有界面内配置调整不另行收费。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40"/>
      <w:pgMar w:top="1440" w:right="1800" w:bottom="1440" w:left="18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46012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ABB1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ABB1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F709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7216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C77C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1646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C3823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5DB0A"/>
    <w:multiLevelType w:val="singleLevel"/>
    <w:tmpl w:val="ABD5DB0A"/>
    <w:lvl w:ilvl="0" w:tentative="0">
      <w:start w:val="1"/>
      <w:numFmt w:val="chineseCounting"/>
      <w:pStyle w:val="14"/>
      <w:suff w:val="nothing"/>
      <w:lvlText w:val="第%1条"/>
      <w:lvlJc w:val="left"/>
      <w:pPr>
        <w:ind w:left="273" w:firstLine="567"/>
      </w:pPr>
      <w:rPr>
        <w:rFonts w:hint="eastAsia" w:eastAsia="黑体"/>
        <w:sz w:val="32"/>
      </w:rPr>
    </w:lvl>
  </w:abstractNum>
  <w:abstractNum w:abstractNumId="1">
    <w:nsid w:val="CC15DE66"/>
    <w:multiLevelType w:val="singleLevel"/>
    <w:tmpl w:val="CC15DE66"/>
    <w:lvl w:ilvl="0" w:tentative="0">
      <w:start w:val="1"/>
      <w:numFmt w:val="chineseCounting"/>
      <w:pStyle w:val="16"/>
      <w:suff w:val="nothing"/>
      <w:lvlText w:val="第%1条"/>
      <w:lvlJc w:val="left"/>
      <w:pPr>
        <w:ind w:left="273" w:firstLine="567"/>
      </w:pPr>
      <w:rPr>
        <w:rFonts w:hint="eastAsia" w:eastAsia="黑体"/>
        <w:sz w:val="32"/>
      </w:rPr>
    </w:lvl>
  </w:abstractNum>
  <w:abstractNum w:abstractNumId="2">
    <w:nsid w:val="D50CA19E"/>
    <w:multiLevelType w:val="singleLevel"/>
    <w:tmpl w:val="D50CA19E"/>
    <w:lvl w:ilvl="0" w:tentative="0">
      <w:start w:val="1"/>
      <w:numFmt w:val="chineseCounting"/>
      <w:pStyle w:val="13"/>
      <w:suff w:val="nothing"/>
      <w:lvlText w:val="第%1条"/>
      <w:lvlJc w:val="left"/>
      <w:pPr>
        <w:ind w:left="273" w:firstLine="567"/>
      </w:pPr>
      <w:rPr>
        <w:rFonts w:hint="eastAsia" w:eastAsia="黑体"/>
        <w:sz w:val="32"/>
      </w:rPr>
    </w:lvl>
  </w:abstractNum>
  <w:abstractNum w:abstractNumId="3">
    <w:nsid w:val="F3DE9183"/>
    <w:multiLevelType w:val="singleLevel"/>
    <w:tmpl w:val="F3DE9183"/>
    <w:lvl w:ilvl="0" w:tentative="0">
      <w:start w:val="1"/>
      <w:numFmt w:val="chineseCounting"/>
      <w:pStyle w:val="24"/>
      <w:suff w:val="nothing"/>
      <w:lvlText w:val="%1、"/>
      <w:lvlJc w:val="left"/>
      <w:pPr>
        <w:tabs>
          <w:tab w:val="left" w:pos="0"/>
        </w:tabs>
        <w:ind w:left="-14" w:firstLine="0"/>
      </w:pPr>
      <w:rPr>
        <w:rFonts w:hint="eastAsia" w:ascii="黑体" w:hAnsi="黑体" w:eastAsia="黑体" w:cs="黑体"/>
        <w:sz w:val="24"/>
        <w:szCs w:val="22"/>
      </w:rPr>
    </w:lvl>
  </w:abstractNum>
  <w:abstractNum w:abstractNumId="4">
    <w:nsid w:val="1A934AEF"/>
    <w:multiLevelType w:val="singleLevel"/>
    <w:tmpl w:val="1A934AEF"/>
    <w:lvl w:ilvl="0" w:tentative="0">
      <w:start w:val="1"/>
      <w:numFmt w:val="decimal"/>
      <w:pStyle w:val="23"/>
      <w:suff w:val="nothing"/>
      <w:lvlText w:val="%1．"/>
      <w:lvlJc w:val="left"/>
      <w:pPr>
        <w:ind w:left="440" w:firstLine="400"/>
      </w:pPr>
      <w:rPr>
        <w:rFonts w:hint="default"/>
      </w:rPr>
    </w:lvl>
  </w:abstractNum>
  <w:abstractNum w:abstractNumId="5">
    <w:nsid w:val="6C10512B"/>
    <w:multiLevelType w:val="singleLevel"/>
    <w:tmpl w:val="6C10512B"/>
    <w:lvl w:ilvl="0" w:tentative="0">
      <w:start w:val="1"/>
      <w:numFmt w:val="chineseCounting"/>
      <w:pStyle w:val="19"/>
      <w:suff w:val="nothing"/>
      <w:lvlText w:val="第%1节"/>
      <w:lvlJc w:val="center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6">
    <w:nsid w:val="7D36DD8B"/>
    <w:multiLevelType w:val="singleLevel"/>
    <w:tmpl w:val="7D36DD8B"/>
    <w:lvl w:ilvl="0" w:tentative="0">
      <w:start w:val="1"/>
      <w:numFmt w:val="chineseCounting"/>
      <w:pStyle w:val="18"/>
      <w:suff w:val="nothing"/>
      <w:lvlText w:val="第%1节"/>
      <w:lvlJc w:val="center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540D6"/>
    <w:rsid w:val="0001020B"/>
    <w:rsid w:val="001C58E0"/>
    <w:rsid w:val="00366C8B"/>
    <w:rsid w:val="003746E4"/>
    <w:rsid w:val="0038119D"/>
    <w:rsid w:val="00604034"/>
    <w:rsid w:val="0061023B"/>
    <w:rsid w:val="00737DA0"/>
    <w:rsid w:val="00852CFC"/>
    <w:rsid w:val="00A75020"/>
    <w:rsid w:val="00AD3E33"/>
    <w:rsid w:val="00C51999"/>
    <w:rsid w:val="00D57E0D"/>
    <w:rsid w:val="00EA29DE"/>
    <w:rsid w:val="0156165D"/>
    <w:rsid w:val="01BB59A8"/>
    <w:rsid w:val="01F751F6"/>
    <w:rsid w:val="02132D49"/>
    <w:rsid w:val="02A40BAB"/>
    <w:rsid w:val="055F26C7"/>
    <w:rsid w:val="0591283C"/>
    <w:rsid w:val="093224E6"/>
    <w:rsid w:val="09D425F8"/>
    <w:rsid w:val="0A2540D6"/>
    <w:rsid w:val="0B477DC4"/>
    <w:rsid w:val="0C5E6A7B"/>
    <w:rsid w:val="0E1F614A"/>
    <w:rsid w:val="0E955A87"/>
    <w:rsid w:val="0FBB623C"/>
    <w:rsid w:val="102F413D"/>
    <w:rsid w:val="123C071A"/>
    <w:rsid w:val="1403756D"/>
    <w:rsid w:val="15BB1929"/>
    <w:rsid w:val="174662BC"/>
    <w:rsid w:val="19702810"/>
    <w:rsid w:val="1A593D93"/>
    <w:rsid w:val="1AAB65CD"/>
    <w:rsid w:val="1AFE74CB"/>
    <w:rsid w:val="1C0165B9"/>
    <w:rsid w:val="20A07BF1"/>
    <w:rsid w:val="28E95BAE"/>
    <w:rsid w:val="29C54E43"/>
    <w:rsid w:val="2A3E15DD"/>
    <w:rsid w:val="2B0D1379"/>
    <w:rsid w:val="2DCE5328"/>
    <w:rsid w:val="2DD96E66"/>
    <w:rsid w:val="2E1D1664"/>
    <w:rsid w:val="2F2B5520"/>
    <w:rsid w:val="322D7196"/>
    <w:rsid w:val="327C0725"/>
    <w:rsid w:val="33202311"/>
    <w:rsid w:val="366A031B"/>
    <w:rsid w:val="368A3222"/>
    <w:rsid w:val="37E912FB"/>
    <w:rsid w:val="39324924"/>
    <w:rsid w:val="397228F1"/>
    <w:rsid w:val="3CDE4454"/>
    <w:rsid w:val="3D3C28C3"/>
    <w:rsid w:val="3D5939FE"/>
    <w:rsid w:val="3E4B2668"/>
    <w:rsid w:val="3F1576D7"/>
    <w:rsid w:val="40791B3B"/>
    <w:rsid w:val="42001560"/>
    <w:rsid w:val="43F025EE"/>
    <w:rsid w:val="45BE6EBE"/>
    <w:rsid w:val="47BD21CF"/>
    <w:rsid w:val="47F707FD"/>
    <w:rsid w:val="496F2A06"/>
    <w:rsid w:val="49A310A2"/>
    <w:rsid w:val="4B1532CB"/>
    <w:rsid w:val="4BC5405E"/>
    <w:rsid w:val="4C2B6317"/>
    <w:rsid w:val="4D26669D"/>
    <w:rsid w:val="4D4E2381"/>
    <w:rsid w:val="4ED95A7C"/>
    <w:rsid w:val="51106CBB"/>
    <w:rsid w:val="515E6B8F"/>
    <w:rsid w:val="51991969"/>
    <w:rsid w:val="5240544D"/>
    <w:rsid w:val="528232AF"/>
    <w:rsid w:val="52F924B9"/>
    <w:rsid w:val="55BE1BD4"/>
    <w:rsid w:val="58EA077B"/>
    <w:rsid w:val="596C7513"/>
    <w:rsid w:val="59EF2377"/>
    <w:rsid w:val="5A830B41"/>
    <w:rsid w:val="5B7E4897"/>
    <w:rsid w:val="5BC345C8"/>
    <w:rsid w:val="5ECC4773"/>
    <w:rsid w:val="5EF51958"/>
    <w:rsid w:val="6056529D"/>
    <w:rsid w:val="62BE08F6"/>
    <w:rsid w:val="64E33E2B"/>
    <w:rsid w:val="67853E02"/>
    <w:rsid w:val="67B92F4D"/>
    <w:rsid w:val="68172955"/>
    <w:rsid w:val="6A2F0F72"/>
    <w:rsid w:val="6AF74BEA"/>
    <w:rsid w:val="6B432B8C"/>
    <w:rsid w:val="6E18446C"/>
    <w:rsid w:val="70523676"/>
    <w:rsid w:val="71625239"/>
    <w:rsid w:val="71883DAE"/>
    <w:rsid w:val="71F82952"/>
    <w:rsid w:val="72786FBD"/>
    <w:rsid w:val="73293951"/>
    <w:rsid w:val="73A159AD"/>
    <w:rsid w:val="75655F72"/>
    <w:rsid w:val="762F58F7"/>
    <w:rsid w:val="76DB5E55"/>
    <w:rsid w:val="777F4BFA"/>
    <w:rsid w:val="778655E4"/>
    <w:rsid w:val="77C244C6"/>
    <w:rsid w:val="7CE879EE"/>
    <w:rsid w:val="7DCC4BF0"/>
    <w:rsid w:val="7F74539C"/>
    <w:rsid w:val="DBFEDE98"/>
    <w:rsid w:val="EAFFF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qFormat/>
    <w:uiPriority w:val="0"/>
    <w:pPr>
      <w:jc w:val="left"/>
    </w:pPr>
  </w:style>
  <w:style w:type="paragraph" w:styleId="3">
    <w:name w:val="Balloon Text"/>
    <w:basedOn w:val="1"/>
    <w:link w:val="33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35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公文标题"/>
    <w:basedOn w:val="1"/>
    <w:qFormat/>
    <w:uiPriority w:val="0"/>
    <w:pPr>
      <w:spacing w:line="64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customStyle="1" w:styleId="12">
    <w:name w:val="公文-第XX章"/>
    <w:basedOn w:val="1"/>
    <w:qFormat/>
    <w:uiPriority w:val="0"/>
    <w:pPr>
      <w:widowControl/>
      <w:spacing w:before="100" w:beforeLines="100" w:after="100" w:afterLines="100"/>
      <w:jc w:val="center"/>
      <w:outlineLvl w:val="1"/>
    </w:pPr>
    <w:rPr>
      <w:rFonts w:hint="eastAsia" w:ascii="Times New Roman" w:hAnsi="Times New Roman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3">
    <w:name w:val="公文正文"/>
    <w:basedOn w:val="1"/>
    <w:link w:val="37"/>
    <w:qFormat/>
    <w:uiPriority w:val="0"/>
    <w:pPr>
      <w:widowControl/>
      <w:numPr>
        <w:ilvl w:val="0"/>
        <w:numId w:val="1"/>
      </w:numPr>
      <w:ind w:left="0" w:firstLine="880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4">
    <w:name w:val="公文第XX条"/>
    <w:basedOn w:val="1"/>
    <w:qFormat/>
    <w:uiPriority w:val="0"/>
    <w:pPr>
      <w:widowControl/>
      <w:numPr>
        <w:ilvl w:val="0"/>
        <w:numId w:val="2"/>
      </w:numPr>
      <w:ind w:left="0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5">
    <w:name w:val="第XX章"/>
    <w:basedOn w:val="1"/>
    <w:qFormat/>
    <w:uiPriority w:val="0"/>
    <w:pPr>
      <w:spacing w:before="100" w:beforeLines="100" w:after="100" w:afterLines="100"/>
      <w:ind w:firstLine="0" w:firstLineChars="0"/>
      <w:jc w:val="center"/>
    </w:pPr>
    <w:rPr>
      <w:rFonts w:hint="eastAsia" w:ascii="黑体" w:hAnsi="黑体" w:eastAsia="黑体" w:cs="黑体"/>
      <w:sz w:val="32"/>
      <w:szCs w:val="32"/>
    </w:rPr>
  </w:style>
  <w:style w:type="paragraph" w:customStyle="1" w:styleId="16">
    <w:name w:val="公文正文带条"/>
    <w:basedOn w:val="1"/>
    <w:qFormat/>
    <w:uiPriority w:val="0"/>
    <w:pPr>
      <w:widowControl/>
      <w:numPr>
        <w:ilvl w:val="0"/>
        <w:numId w:val="3"/>
      </w:numPr>
      <w:ind w:left="0" w:firstLine="880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17">
    <w:name w:val="公文-正文"/>
    <w:basedOn w:val="1"/>
    <w:link w:val="36"/>
    <w:qFormat/>
    <w:uiPriority w:val="0"/>
    <w:rPr>
      <w:rFonts w:ascii="Times New Roman" w:hAnsi="Times New Roman" w:eastAsia="仿宋_GB2312" w:cs="Arial"/>
      <w:snapToGrid w:val="0"/>
      <w:color w:val="000000"/>
      <w:sz w:val="32"/>
      <w:szCs w:val="21"/>
      <w:lang w:eastAsia="en-US"/>
    </w:rPr>
  </w:style>
  <w:style w:type="paragraph" w:customStyle="1" w:styleId="18">
    <w:name w:val="正文-第XX节"/>
    <w:basedOn w:val="1"/>
    <w:qFormat/>
    <w:uiPriority w:val="0"/>
    <w:pPr>
      <w:numPr>
        <w:ilvl w:val="0"/>
        <w:numId w:val="4"/>
      </w:numPr>
      <w:jc w:val="center"/>
      <w:outlineLvl w:val="2"/>
    </w:pPr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19">
    <w:name w:val="公文第X节"/>
    <w:basedOn w:val="1"/>
    <w:qFormat/>
    <w:uiPriority w:val="0"/>
    <w:pPr>
      <w:numPr>
        <w:ilvl w:val="0"/>
        <w:numId w:val="5"/>
      </w:numPr>
      <w:jc w:val="center"/>
      <w:outlineLvl w:val="1"/>
    </w:pPr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20">
    <w:name w:val="1-公文标题"/>
    <w:basedOn w:val="1"/>
    <w:qFormat/>
    <w:uiPriority w:val="0"/>
    <w:pPr>
      <w:spacing w:line="64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spacing w:val="-14"/>
      <w:sz w:val="44"/>
      <w:szCs w:val="44"/>
    </w:rPr>
  </w:style>
  <w:style w:type="paragraph" w:customStyle="1" w:styleId="21">
    <w:name w:val="黑体五号居中"/>
    <w:basedOn w:val="1"/>
    <w:qFormat/>
    <w:uiPriority w:val="0"/>
    <w:pPr>
      <w:spacing w:line="520" w:lineRule="exact"/>
      <w:jc w:val="center"/>
      <w:outlineLvl w:val="1"/>
    </w:pPr>
    <w:rPr>
      <w:rFonts w:ascii="黑体" w:hAnsi="黑体" w:eastAsia="黑体" w:cs="黑体"/>
      <w:snapToGrid w:val="0"/>
      <w:color w:val="000000"/>
      <w:spacing w:val="-3"/>
      <w:szCs w:val="21"/>
      <w:lang w:eastAsia="en-US"/>
    </w:rPr>
  </w:style>
  <w:style w:type="paragraph" w:customStyle="1" w:styleId="22">
    <w:name w:val="SOP-黑体五号（一级标题）"/>
    <w:basedOn w:val="1"/>
    <w:qFormat/>
    <w:uiPriority w:val="0"/>
    <w:pPr>
      <w:tabs>
        <w:tab w:val="left" w:pos="0"/>
      </w:tabs>
      <w:spacing w:line="520" w:lineRule="exact"/>
      <w:ind w:firstLine="1064"/>
      <w:jc w:val="center"/>
    </w:pPr>
    <w:rPr>
      <w:rFonts w:hint="eastAsia" w:ascii="黑体" w:hAnsi="黑体" w:eastAsia="黑体" w:cs="黑体"/>
      <w:snapToGrid w:val="0"/>
      <w:color w:val="000000"/>
      <w:spacing w:val="1"/>
      <w:sz w:val="28"/>
      <w:szCs w:val="24"/>
      <w:lang w:eastAsia="en-US"/>
    </w:rPr>
  </w:style>
  <w:style w:type="paragraph" w:customStyle="1" w:styleId="23">
    <w:name w:val="SOP二级标题-仿宋GB小四"/>
    <w:basedOn w:val="1"/>
    <w:link w:val="27"/>
    <w:qFormat/>
    <w:uiPriority w:val="0"/>
    <w:pPr>
      <w:numPr>
        <w:ilvl w:val="0"/>
        <w:numId w:val="6"/>
      </w:numPr>
      <w:spacing w:line="520" w:lineRule="exact"/>
      <w:ind w:left="0" w:firstLine="640"/>
    </w:pPr>
    <w:rPr>
      <w:rFonts w:hint="eastAsia" w:ascii="Times New Roman" w:hAnsi="Times New Roman" w:eastAsia="仿宋_GB2312" w:cs="Arial"/>
      <w:b/>
      <w:snapToGrid w:val="0"/>
      <w:color w:val="000000"/>
      <w:sz w:val="24"/>
      <w:szCs w:val="18"/>
      <w:lang w:eastAsia="en-US"/>
    </w:rPr>
  </w:style>
  <w:style w:type="paragraph" w:customStyle="1" w:styleId="24">
    <w:name w:val="SOP-黑体小四号（一级标题）"/>
    <w:basedOn w:val="1"/>
    <w:next w:val="25"/>
    <w:link w:val="26"/>
    <w:qFormat/>
    <w:uiPriority w:val="0"/>
    <w:pPr>
      <w:numPr>
        <w:ilvl w:val="0"/>
        <w:numId w:val="7"/>
      </w:numPr>
      <w:spacing w:before="100" w:beforeLines="100" w:after="50" w:afterLines="50" w:line="520" w:lineRule="exact"/>
      <w:ind w:left="0" w:firstLine="1064"/>
      <w:jc w:val="left"/>
    </w:pPr>
    <w:rPr>
      <w:rFonts w:hint="eastAsia" w:ascii="黑体" w:hAnsi="黑体" w:eastAsia="黑体" w:cs="黑体"/>
      <w:snapToGrid w:val="0"/>
      <w:color w:val="000000"/>
      <w:spacing w:val="1"/>
      <w:sz w:val="24"/>
      <w:szCs w:val="24"/>
      <w:lang w:eastAsia="en-US"/>
    </w:rPr>
  </w:style>
  <w:style w:type="paragraph" w:customStyle="1" w:styleId="25">
    <w:name w:val="SOP正文"/>
    <w:basedOn w:val="1"/>
    <w:qFormat/>
    <w:uiPriority w:val="0"/>
    <w:pPr>
      <w:spacing w:line="520" w:lineRule="exact"/>
      <w:ind w:firstLine="1064"/>
    </w:pPr>
    <w:rPr>
      <w:rFonts w:hint="eastAsia" w:ascii="仿宋_GB2312" w:hAnsi="仿宋_GB2312" w:eastAsia="仿宋_GB2312" w:cs="仿宋_GB2312"/>
      <w:snapToGrid w:val="0"/>
      <w:color w:val="000000"/>
      <w:spacing w:val="1"/>
      <w:sz w:val="24"/>
      <w:szCs w:val="21"/>
      <w:lang w:eastAsia="en-US"/>
    </w:rPr>
  </w:style>
  <w:style w:type="character" w:customStyle="1" w:styleId="26">
    <w:name w:val="SOP-黑体小四号（一级标题） Char"/>
    <w:link w:val="24"/>
    <w:qFormat/>
    <w:uiPriority w:val="0"/>
    <w:rPr>
      <w:rFonts w:hint="eastAsia" w:ascii="黑体" w:hAnsi="黑体" w:eastAsia="黑体" w:cs="黑体"/>
      <w:snapToGrid w:val="0"/>
      <w:color w:val="000000"/>
      <w:spacing w:val="1"/>
      <w:kern w:val="0"/>
      <w:sz w:val="24"/>
      <w:szCs w:val="24"/>
      <w:lang w:eastAsia="en-US"/>
    </w:rPr>
  </w:style>
  <w:style w:type="character" w:customStyle="1" w:styleId="27">
    <w:name w:val="SOP二级标题-仿宋GB小四 Char"/>
    <w:link w:val="23"/>
    <w:qFormat/>
    <w:uiPriority w:val="0"/>
    <w:rPr>
      <w:rFonts w:hint="eastAsia" w:ascii="Times New Roman" w:hAnsi="Times New Roman" w:eastAsia="仿宋_GB2312" w:cs="Arial"/>
      <w:b/>
      <w:snapToGrid w:val="0"/>
      <w:color w:val="000000"/>
      <w:kern w:val="0"/>
      <w:sz w:val="24"/>
      <w:szCs w:val="18"/>
      <w:lang w:eastAsia="en-US"/>
    </w:rPr>
  </w:style>
  <w:style w:type="paragraph" w:customStyle="1" w:styleId="28">
    <w:name w:val="附件表模板"/>
    <w:basedOn w:val="1"/>
    <w:qFormat/>
    <w:uiPriority w:val="0"/>
    <w:pPr>
      <w:spacing w:line="400" w:lineRule="exact"/>
      <w:jc w:val="center"/>
    </w:pPr>
    <w:rPr>
      <w:rFonts w:ascii="Times New Roman" w:hAnsi="Times New Roman" w:eastAsia="仿宋_GB2312" w:cs="Times New Roman"/>
      <w:snapToGrid w:val="0"/>
      <w:color w:val="000000"/>
      <w:spacing w:val="-4"/>
      <w:sz w:val="24"/>
      <w:szCs w:val="24"/>
      <w:lang w:eastAsia="en-US"/>
    </w:rPr>
  </w:style>
  <w:style w:type="paragraph" w:customStyle="1" w:styleId="29">
    <w:name w:val="文件编号"/>
    <w:basedOn w:val="1"/>
    <w:qFormat/>
    <w:uiPriority w:val="0"/>
    <w:pPr>
      <w:jc w:val="center"/>
    </w:pPr>
    <w:rPr>
      <w:rFonts w:ascii="Times New Roman" w:hAnsi="Times New Roman" w:cs="Arial"/>
      <w:snapToGrid w:val="0"/>
      <w:color w:val="000000"/>
      <w:sz w:val="24"/>
      <w:szCs w:val="21"/>
      <w:lang w:eastAsia="en-US"/>
    </w:rPr>
  </w:style>
  <w:style w:type="paragraph" w:customStyle="1" w:styleId="30">
    <w:name w:val="SOP附件标题"/>
    <w:basedOn w:val="1"/>
    <w:qFormat/>
    <w:uiPriority w:val="0"/>
    <w:pPr>
      <w:spacing w:before="50" w:beforeLines="50" w:after="50" w:afterLines="50" w:line="360" w:lineRule="exact"/>
      <w:jc w:val="center"/>
      <w:outlineLvl w:val="1"/>
    </w:pPr>
    <w:rPr>
      <w:rFonts w:hint="eastAsia" w:ascii="黑体" w:hAnsi="黑体" w:eastAsia="黑体" w:cs="黑体"/>
      <w:snapToGrid w:val="0"/>
      <w:color w:val="000000"/>
      <w:sz w:val="28"/>
      <w:szCs w:val="28"/>
      <w:lang w:eastAsia="en-US"/>
    </w:rPr>
  </w:style>
  <w:style w:type="character" w:customStyle="1" w:styleId="3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32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33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34">
    <w:name w:val="批注文字 字符"/>
    <w:basedOn w:val="8"/>
    <w:link w:val="2"/>
    <w:qFormat/>
    <w:uiPriority w:val="0"/>
    <w:rPr>
      <w:sz w:val="21"/>
      <w:szCs w:val="22"/>
    </w:rPr>
  </w:style>
  <w:style w:type="character" w:customStyle="1" w:styleId="35">
    <w:name w:val="批注主题 字符"/>
    <w:basedOn w:val="34"/>
    <w:link w:val="6"/>
    <w:qFormat/>
    <w:uiPriority w:val="0"/>
    <w:rPr>
      <w:b/>
      <w:bCs/>
      <w:sz w:val="21"/>
      <w:szCs w:val="22"/>
    </w:rPr>
  </w:style>
  <w:style w:type="character" w:customStyle="1" w:styleId="36">
    <w:name w:val="公文-正文 Char"/>
    <w:link w:val="17"/>
    <w:qFormat/>
    <w:uiPriority w:val="0"/>
    <w:rPr>
      <w:rFonts w:ascii="Times New Roman" w:hAnsi="Times New Roman" w:eastAsia="仿宋_GB2312" w:cs="Arial"/>
      <w:snapToGrid w:val="0"/>
      <w:color w:val="000000"/>
      <w:sz w:val="32"/>
      <w:szCs w:val="21"/>
      <w:lang w:eastAsia="en-US"/>
    </w:rPr>
  </w:style>
  <w:style w:type="character" w:customStyle="1" w:styleId="37">
    <w:name w:val="公文正文 Char"/>
    <w:link w:val="13"/>
    <w:qFormat/>
    <w:uiPriority w:val="0"/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6</Pages>
  <Words>2535</Words>
  <Characters>2638</Characters>
  <Lines>17</Lines>
  <Paragraphs>4</Paragraphs>
  <TotalTime>18</TotalTime>
  <ScaleCrop>false</ScaleCrop>
  <LinksUpToDate>false</LinksUpToDate>
  <CharactersWithSpaces>2682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2026-04-22T09:43:00Z</dcterms:created>
  <dc:creator>注意事项</dc:creator>
  <cp:lastModifiedBy>注意事项</cp:lastModifiedBy>
  <cp:lastPrinted>2026-04-23T08:23:00Z</cp:lastPrinted>
  <dcterms:modified xsi:type="dcterms:W3CDTF">2026-05-11T08:29:55Z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759B8A292CEB42909FE9528FA728AF49_13</vt:lpwstr>
  </property>
  <property fmtid="{D5CDD505-2E9C-101B-9397-08002B2CF9AE}" pid="4" name="KSOTemplateDocerSaveRecord">
    <vt:lpwstr>eyJoZGlkIjoiODlmOGQyMjFhZmQwMDEyMDU2YWU3ZGNmYTFiYzJmYzMiLCJ1c2VySWQiOiIyMjIzMTA5NzIifQ==</vt:lpwstr>
  </property>
</Properties>
</file>