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E96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中山大学附属第一医院广西医院</w:t>
      </w:r>
    </w:p>
    <w:p w14:paraId="725E96A7">
      <w:pPr>
        <w:keepNext w:val="0"/>
        <w:keepLines w:val="0"/>
        <w:pageBreakBefore w:val="0"/>
        <w:widowControl/>
        <w:suppressLineNumbers w:val="0"/>
        <w:kinsoku/>
        <w:wordWrap/>
        <w:overflowPunct/>
        <w:topLinePunct w:val="0"/>
        <w:autoSpaceDE/>
        <w:autoSpaceDN/>
        <w:bidi w:val="0"/>
        <w:adjustRightInd/>
        <w:snapToGrid/>
        <w:spacing w:after="313" w:afterLines="10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lang w:val="en-US" w:eastAsia="zh-CN" w:bidi="ar"/>
        </w:rPr>
        <w:t>2026年医师节文创产品定制化设计及制作服务需求及评分标准</w:t>
      </w:r>
    </w:p>
    <w:p w14:paraId="158BF7A4">
      <w:pPr>
        <w:pStyle w:val="2"/>
        <w:keepNext w:val="0"/>
        <w:keepLines w:val="0"/>
        <w:pageBreakBefore w:val="0"/>
        <w:widowControl/>
        <w:suppressLineNumbers w:val="0"/>
        <w:kinsoku/>
        <w:wordWrap/>
        <w:overflowPunct/>
        <w:topLinePunct w:val="0"/>
        <w:bidi w:val="0"/>
        <w:snapToGrid/>
        <w:spacing w:beforeAutospacing="0" w:afterAutospacing="0" w:line="560" w:lineRule="exact"/>
        <w:ind w:firstLine="643"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rPr>
        <w:t>一、项目基本情况</w:t>
      </w:r>
    </w:p>
    <w:p w14:paraId="080435CF">
      <w:pPr>
        <w:keepNext w:val="0"/>
        <w:keepLines w:val="0"/>
        <w:pageBreakBefore w:val="0"/>
        <w:widowControl/>
        <w:suppressLineNumbers w:val="0"/>
        <w:kinsoku/>
        <w:wordWrap/>
        <w:overflowPunct/>
        <w:topLinePunct w:val="0"/>
        <w:bidi w:val="0"/>
        <w:snapToGrid/>
        <w:spacing w:beforeAutospacing="0" w:afterAutospacing="0" w:line="560" w:lineRule="exact"/>
        <w:ind w:left="0" w:firstLine="643" w:firstLineChars="200"/>
        <w:jc w:val="left"/>
        <w:textAlignment w:val="auto"/>
        <w:rPr>
          <w:rFonts w:hint="eastAsia" w:ascii="仿宋_GB2312" w:hAnsi="仿宋_GB2312" w:eastAsia="仿宋_GB2312" w:cs="仿宋_GB2312"/>
          <w:kern w:val="0"/>
          <w:sz w:val="32"/>
          <w:szCs w:val="32"/>
          <w:lang w:val="en-US" w:eastAsia="zh-CN" w:bidi="ar"/>
        </w:rPr>
      </w:pPr>
      <w:r>
        <w:rPr>
          <w:rStyle w:val="8"/>
          <w:rFonts w:hint="eastAsia" w:ascii="仿宋_GB2312" w:hAnsi="仿宋_GB2312" w:eastAsia="仿宋_GB2312" w:cs="仿宋_GB2312"/>
          <w:kern w:val="0"/>
          <w:sz w:val="32"/>
          <w:szCs w:val="32"/>
          <w:lang w:val="en-US" w:eastAsia="zh-CN" w:bidi="ar"/>
        </w:rPr>
        <w:t>项目名称</w:t>
      </w:r>
      <w:r>
        <w:rPr>
          <w:rFonts w:hint="eastAsia" w:ascii="仿宋_GB2312" w:hAnsi="仿宋_GB2312" w:eastAsia="仿宋_GB2312" w:cs="仿宋_GB2312"/>
          <w:kern w:val="0"/>
          <w:sz w:val="32"/>
          <w:szCs w:val="32"/>
          <w:lang w:val="en-US" w:eastAsia="zh-CN" w:bidi="ar"/>
        </w:rPr>
        <w:t>：中山大学附属第一医院广西医院2026年医师节文创产品定制化设计及制作服务</w:t>
      </w:r>
    </w:p>
    <w:p w14:paraId="54D0E239">
      <w:pPr>
        <w:keepNext w:val="0"/>
        <w:keepLines w:val="0"/>
        <w:pageBreakBefore w:val="0"/>
        <w:widowControl/>
        <w:suppressLineNumbers w:val="0"/>
        <w:kinsoku/>
        <w:wordWrap/>
        <w:overflowPunct/>
        <w:topLinePunct w:val="0"/>
        <w:bidi w:val="0"/>
        <w:snapToGrid/>
        <w:spacing w:beforeAutospacing="0" w:afterAutospacing="0" w:line="560" w:lineRule="exact"/>
        <w:ind w:left="0" w:firstLine="643" w:firstLineChars="200"/>
        <w:jc w:val="left"/>
        <w:textAlignment w:val="auto"/>
        <w:rPr>
          <w:rFonts w:hint="eastAsia" w:ascii="仿宋_GB2312" w:hAnsi="仿宋_GB2312" w:eastAsia="仿宋_GB2312" w:cs="仿宋_GB2312"/>
          <w:sz w:val="32"/>
          <w:szCs w:val="32"/>
          <w:lang w:val="en-US" w:eastAsia="zh-CN"/>
        </w:rPr>
      </w:pPr>
      <w:r>
        <w:rPr>
          <w:rStyle w:val="8"/>
          <w:rFonts w:hint="eastAsia" w:ascii="仿宋_GB2312" w:hAnsi="仿宋_GB2312" w:eastAsia="仿宋_GB2312" w:cs="仿宋_GB2312"/>
          <w:color w:val="auto"/>
          <w:kern w:val="0"/>
          <w:sz w:val="32"/>
          <w:szCs w:val="32"/>
          <w:lang w:val="en-US" w:eastAsia="zh-CN" w:bidi="ar"/>
        </w:rPr>
        <w:t>项目时间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2026年8月18日前完成全部交付验收</w:t>
      </w:r>
    </w:p>
    <w:p w14:paraId="505C3605">
      <w:pPr>
        <w:keepNext w:val="0"/>
        <w:keepLines w:val="0"/>
        <w:pageBreakBefore w:val="0"/>
        <w:widowControl/>
        <w:suppressLineNumbers w:val="0"/>
        <w:kinsoku/>
        <w:wordWrap/>
        <w:overflowPunct/>
        <w:topLinePunct w:val="0"/>
        <w:bidi w:val="0"/>
        <w:snapToGrid/>
        <w:spacing w:beforeAutospacing="0" w:afterAutospacing="0" w:line="560" w:lineRule="exact"/>
        <w:ind w:left="0"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bidi="ar"/>
        </w:rPr>
        <w:t>项目内容</w:t>
      </w:r>
      <w:r>
        <w:rPr>
          <w:rFonts w:hint="eastAsia" w:ascii="仿宋_GB2312" w:hAnsi="仿宋_GB2312" w:eastAsia="仿宋_GB2312" w:cs="仿宋_GB2312"/>
          <w:kern w:val="0"/>
          <w:sz w:val="32"/>
          <w:szCs w:val="32"/>
          <w:lang w:val="en-US" w:eastAsia="zh-CN" w:bidi="ar"/>
        </w:rPr>
        <w:t>：2026年医师节文创产品定制化设计及制作，不少于500套</w:t>
      </w:r>
    </w:p>
    <w:p w14:paraId="5880D315">
      <w:pPr>
        <w:keepNext w:val="0"/>
        <w:keepLines w:val="0"/>
        <w:pageBreakBefore w:val="0"/>
        <w:widowControl/>
        <w:suppressLineNumbers w:val="0"/>
        <w:kinsoku/>
        <w:wordWrap/>
        <w:overflowPunct/>
        <w:topLinePunct w:val="0"/>
        <w:bidi w:val="0"/>
        <w:snapToGrid/>
        <w:spacing w:beforeAutospacing="0" w:afterAutospacing="0" w:line="560" w:lineRule="exact"/>
        <w:ind w:left="0"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bidi="ar"/>
        </w:rPr>
        <w:t>项目预算</w:t>
      </w:r>
      <w:r>
        <w:rPr>
          <w:rFonts w:hint="eastAsia" w:ascii="仿宋_GB2312" w:hAnsi="仿宋_GB2312" w:eastAsia="仿宋_GB2312" w:cs="仿宋_GB2312"/>
          <w:kern w:val="0"/>
          <w:sz w:val="32"/>
          <w:szCs w:val="32"/>
          <w:lang w:val="en-US" w:eastAsia="zh-CN" w:bidi="ar"/>
        </w:rPr>
        <w:t>：5万元，</w:t>
      </w:r>
      <w:r>
        <w:rPr>
          <w:rFonts w:hint="eastAsia" w:ascii="仿宋_GB2312" w:hAnsi="仿宋_GB2312" w:eastAsia="仿宋_GB2312" w:cs="仿宋_GB2312"/>
          <w:sz w:val="32"/>
          <w:szCs w:val="32"/>
          <w:lang w:val="en-US" w:eastAsia="zh-CN"/>
        </w:rPr>
        <w:t>报价超过预算视为无效</w:t>
      </w:r>
    </w:p>
    <w:p w14:paraId="0C29A20F">
      <w:pPr>
        <w:pStyle w:val="2"/>
        <w:keepNext w:val="0"/>
        <w:keepLines w:val="0"/>
        <w:pageBreakBefore w:val="0"/>
        <w:widowControl/>
        <w:suppressLineNumbers w:val="0"/>
        <w:kinsoku/>
        <w:wordWrap/>
        <w:overflowPunct/>
        <w:topLinePunct w:val="0"/>
        <w:bidi w:val="0"/>
        <w:snapToGrid/>
        <w:spacing w:beforeAutospacing="0" w:afterAutospacing="0" w:line="5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二、采购需求及技术参数</w:t>
      </w:r>
    </w:p>
    <w:p w14:paraId="047AFB0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（一）整体服务要求</w:t>
      </w:r>
    </w:p>
    <w:p w14:paraId="3926375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供应商须提供方案设计、差异化定制、生产制作、精品包装、统一配送、售后质保全流程一体化包干服务，所有费用包含设计费、材料费、制作费、定制费、包装费、运输费、税费、售后维修费等，无任何隐形费用。全程配合院方需求修改优化，直至验收合格交付。</w:t>
      </w:r>
    </w:p>
    <w:p w14:paraId="127EBDBE">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（二）设计方案要求</w:t>
      </w:r>
    </w:p>
    <w:p w14:paraId="43FAA64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kern w:val="0"/>
          <w:sz w:val="32"/>
          <w:szCs w:val="32"/>
          <w:lang w:val="en-US" w:eastAsia="zh-CN" w:bidi="ar"/>
        </w:rPr>
        <w:t>须提交完整专属定制设计方案，内容齐全、逻辑清晰、可落地执行，具体包含：</w:t>
      </w:r>
    </w:p>
    <w:p w14:paraId="682D632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1.整体设计说明（含医师节主题释义、医院文化与广西地域文化融合理念、整体设计风格定位）；</w:t>
      </w:r>
    </w:p>
    <w:p w14:paraId="0DEC99B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kern w:val="0"/>
          <w:sz w:val="32"/>
          <w:szCs w:val="32"/>
          <w:lang w:val="en-US" w:eastAsia="zh-CN" w:bidi="ar"/>
        </w:rPr>
        <w:t>详细设计思路（含整体构思、岗位差异化设计逻辑、材质工艺选型思路、色彩搭配说明）；</w:t>
      </w:r>
    </w:p>
    <w:p w14:paraId="099A51E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kern w:val="0"/>
          <w:sz w:val="32"/>
          <w:szCs w:val="32"/>
          <w:lang w:val="en-US" w:eastAsia="zh-CN" w:bidi="ar"/>
        </w:rPr>
        <w:t>全套高清设计效果图（含整套产品全景图、单款产品细节图、六大岗位差异化对比图、成品包装效果图）；</w:t>
      </w:r>
    </w:p>
    <w:p w14:paraId="2515C9B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kern w:val="0"/>
          <w:sz w:val="32"/>
          <w:szCs w:val="32"/>
          <w:lang w:val="en-US" w:eastAsia="zh-CN" w:bidi="ar"/>
        </w:rPr>
        <w:t>产品详细参数清单、工艺说明、质保服务说明；</w:t>
      </w:r>
    </w:p>
    <w:p w14:paraId="5713756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rPr>
        <w:t>5.</w:t>
      </w:r>
      <w:r>
        <w:rPr>
          <w:rFonts w:hint="eastAsia" w:ascii="仿宋_GB2312" w:hAnsi="仿宋_GB2312" w:eastAsia="仿宋_GB2312" w:cs="仿宋_GB2312"/>
          <w:kern w:val="0"/>
          <w:sz w:val="32"/>
          <w:szCs w:val="32"/>
          <w:lang w:val="en-US" w:eastAsia="zh-CN" w:bidi="ar"/>
        </w:rPr>
        <w:t>设计方案支持院方不限次数免费修改优化。</w:t>
      </w:r>
    </w:p>
    <w:p w14:paraId="7C2BC62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文化创意产品技术参数</w:t>
      </w:r>
    </w:p>
    <w:p w14:paraId="50EFF3FB">
      <w:pPr>
        <w:numPr>
          <w:ilvl w:val="0"/>
          <w:numId w:val="0"/>
        </w:numPr>
        <w:rPr>
          <w:rFonts w:hint="eastAsia"/>
        </w:rPr>
      </w:pPr>
    </w:p>
    <w:tbl>
      <w:tblPr>
        <w:tblStyle w:val="6"/>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7"/>
        <w:gridCol w:w="6719"/>
      </w:tblGrid>
      <w:tr w14:paraId="56AB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vAlign w:val="top"/>
          </w:tcPr>
          <w:p w14:paraId="23061E3F">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kern w:val="0"/>
                <w:sz w:val="32"/>
                <w:szCs w:val="32"/>
                <w:lang w:val="en-US" w:eastAsia="zh-CN" w:bidi="ar"/>
              </w:rPr>
              <w:t>功能模块</w:t>
            </w:r>
          </w:p>
        </w:tc>
        <w:tc>
          <w:tcPr>
            <w:tcW w:w="6719" w:type="dxa"/>
            <w:vAlign w:val="top"/>
          </w:tcPr>
          <w:p w14:paraId="35050CB6">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kern w:val="0"/>
                <w:sz w:val="32"/>
                <w:szCs w:val="32"/>
                <w:lang w:val="en-US" w:eastAsia="zh-CN" w:bidi="ar"/>
              </w:rPr>
              <w:t>主要规格、技术参数</w:t>
            </w:r>
          </w:p>
        </w:tc>
      </w:tr>
      <w:tr w14:paraId="20E6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vAlign w:val="top"/>
          </w:tcPr>
          <w:p w14:paraId="72C662F2">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p>
          <w:p w14:paraId="5D9AA8B9">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p>
          <w:p w14:paraId="37051655">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vertAlign w:val="baseline"/>
              </w:rPr>
            </w:pPr>
            <w:r>
              <w:rPr>
                <w:rFonts w:hint="eastAsia" w:ascii="仿宋_GB2312" w:hAnsi="仿宋_GB2312" w:eastAsia="仿宋_GB2312" w:cs="仿宋_GB2312"/>
                <w:kern w:val="0"/>
                <w:sz w:val="28"/>
                <w:szCs w:val="28"/>
                <w:lang w:val="en-US" w:eastAsia="zh-CN" w:bidi="ar"/>
              </w:rPr>
              <w:t>核心设计要求</w:t>
            </w:r>
          </w:p>
        </w:tc>
        <w:tc>
          <w:tcPr>
            <w:tcW w:w="6719" w:type="dxa"/>
            <w:vAlign w:val="top"/>
          </w:tcPr>
          <w:p w14:paraId="521F8E88">
            <w:pPr>
              <w:keepNext w:val="0"/>
              <w:keepLines w:val="0"/>
              <w:widowControl/>
              <w:numPr>
                <w:ilvl w:val="0"/>
                <w:numId w:val="0"/>
              </w:numPr>
              <w:suppressLineNumbers w:val="0"/>
              <w:jc w:val="left"/>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1.具有鲜明广西地域特色和医院文化特色；</w:t>
            </w:r>
          </w:p>
          <w:p w14:paraId="25D22C6F">
            <w:pPr>
              <w:keepNext w:val="0"/>
              <w:keepLines w:val="0"/>
              <w:widowControl/>
              <w:numPr>
                <w:ilvl w:val="0"/>
                <w:numId w:val="0"/>
              </w:numPr>
              <w:suppressLineNumbers w:val="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kern w:val="0"/>
                <w:sz w:val="28"/>
                <w:szCs w:val="28"/>
                <w:lang w:val="en-US" w:eastAsia="zh-CN" w:bidi="ar"/>
              </w:rPr>
              <w:t>接受专属定制，融入医院Logo及医师节主题元素；</w:t>
            </w:r>
          </w:p>
          <w:p w14:paraId="75DD4D9F">
            <w:pPr>
              <w:keepNext w:val="0"/>
              <w:keepLines w:val="0"/>
              <w:widowControl/>
              <w:numPr>
                <w:ilvl w:val="0"/>
                <w:numId w:val="0"/>
              </w:numPr>
              <w:suppressLineNumbers w:val="0"/>
              <w:jc w:val="left"/>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rPr>
              <w:t>3.</w:t>
            </w:r>
            <w:r>
              <w:rPr>
                <w:rFonts w:hint="eastAsia" w:ascii="仿宋_GB2312" w:hAnsi="仿宋_GB2312" w:eastAsia="仿宋_GB2312" w:cs="仿宋_GB2312"/>
                <w:kern w:val="0"/>
                <w:sz w:val="28"/>
                <w:szCs w:val="28"/>
                <w:lang w:val="en-US" w:eastAsia="zh-CN" w:bidi="ar"/>
              </w:rPr>
              <w:t>按岗位分类定制不同款式：医生岗：内科、外科、妇科、儿科、其他科室，医技岗，合计</w:t>
            </w:r>
            <w:r>
              <w:rPr>
                <w:rFonts w:hint="eastAsia" w:ascii="仿宋_GB2312" w:hAnsi="仿宋_GB2312" w:eastAsia="仿宋_GB2312" w:cs="仿宋_GB2312"/>
                <w:kern w:val="0"/>
                <w:sz w:val="28"/>
                <w:szCs w:val="28"/>
                <w:vertAlign w:val="baseline"/>
                <w:lang w:bidi="ar"/>
              </w:rPr>
              <w:t>6大类岗位</w:t>
            </w:r>
            <w:r>
              <w:rPr>
                <w:rFonts w:hint="eastAsia" w:ascii="仿宋_GB2312" w:hAnsi="仿宋_GB2312" w:eastAsia="仿宋_GB2312" w:cs="仿宋_GB2312"/>
                <w:kern w:val="0"/>
                <w:sz w:val="28"/>
                <w:szCs w:val="28"/>
                <w:lang w:val="en-US" w:eastAsia="zh-CN" w:bidi="ar"/>
              </w:rPr>
              <w:t>。</w:t>
            </w:r>
          </w:p>
        </w:tc>
      </w:tr>
      <w:tr w14:paraId="47AE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vAlign w:val="top"/>
          </w:tcPr>
          <w:p w14:paraId="4F2573FF">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vertAlign w:val="baseline"/>
              </w:rPr>
            </w:pPr>
            <w:r>
              <w:rPr>
                <w:rFonts w:hint="eastAsia" w:ascii="仿宋_GB2312" w:hAnsi="仿宋_GB2312" w:eastAsia="仿宋_GB2312" w:cs="仿宋_GB2312"/>
                <w:kern w:val="0"/>
                <w:sz w:val="28"/>
                <w:szCs w:val="28"/>
                <w:lang w:val="en-US" w:eastAsia="zh-CN" w:bidi="ar"/>
              </w:rPr>
              <w:t>材质工艺标准</w:t>
            </w:r>
          </w:p>
        </w:tc>
        <w:tc>
          <w:tcPr>
            <w:tcW w:w="6719" w:type="dxa"/>
            <w:vAlign w:val="top"/>
          </w:tcPr>
          <w:p w14:paraId="243B534D">
            <w:pPr>
              <w:keepNext w:val="0"/>
              <w:keepLines w:val="0"/>
              <w:widowControl/>
              <w:suppressLineNumbers w:val="0"/>
              <w:jc w:val="left"/>
              <w:rPr>
                <w:rFonts w:hint="eastAsia" w:ascii="仿宋_GB2312" w:hAnsi="仿宋_GB2312" w:eastAsia="仿宋_GB2312" w:cs="仿宋_GB2312"/>
                <w:sz w:val="28"/>
                <w:szCs w:val="28"/>
                <w:vertAlign w:val="baseline"/>
              </w:rPr>
            </w:pPr>
            <w:r>
              <w:rPr>
                <w:rFonts w:hint="eastAsia" w:ascii="仿宋_GB2312" w:hAnsi="仿宋_GB2312" w:eastAsia="仿宋_GB2312" w:cs="仿宋_GB2312"/>
                <w:kern w:val="0"/>
                <w:sz w:val="28"/>
                <w:szCs w:val="28"/>
                <w:lang w:val="en-US" w:eastAsia="zh-CN" w:bidi="ar"/>
              </w:rPr>
              <w:t>材质不限，须安全环保、品质优良</w:t>
            </w:r>
          </w:p>
        </w:tc>
      </w:tr>
      <w:tr w14:paraId="74E9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vAlign w:val="top"/>
          </w:tcPr>
          <w:p w14:paraId="6DB2A2E9">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p>
          <w:p w14:paraId="6266222F">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p>
          <w:p w14:paraId="1425A272">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vertAlign w:val="baseline"/>
              </w:rPr>
            </w:pPr>
            <w:r>
              <w:rPr>
                <w:rFonts w:hint="eastAsia" w:ascii="仿宋_GB2312" w:hAnsi="仿宋_GB2312" w:eastAsia="仿宋_GB2312" w:cs="仿宋_GB2312"/>
                <w:kern w:val="0"/>
                <w:sz w:val="28"/>
                <w:szCs w:val="28"/>
                <w:lang w:val="en-US" w:eastAsia="zh-CN" w:bidi="ar"/>
              </w:rPr>
              <w:t>价格数量标准</w:t>
            </w:r>
          </w:p>
        </w:tc>
        <w:tc>
          <w:tcPr>
            <w:tcW w:w="6719" w:type="dxa"/>
            <w:vAlign w:val="top"/>
          </w:tcPr>
          <w:p w14:paraId="59FE801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1.本次采购总数量为500套，产品按照六大岗位进行差异化定制配置。各岗位的具体分配数量以院方最终核定结果为准，实际配发数量与初步规划数量会存在小幅偏差，整体浮动范围控制在3%以内；</w:t>
            </w:r>
          </w:p>
          <w:p w14:paraId="0E959FE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2.</w:t>
            </w:r>
            <w:r>
              <w:rPr>
                <w:rFonts w:hint="eastAsia" w:ascii="仿宋_GB2312" w:hAnsi="仿宋_GB2312" w:eastAsia="仿宋_GB2312" w:cs="仿宋_GB2312"/>
                <w:kern w:val="0"/>
                <w:sz w:val="28"/>
                <w:szCs w:val="28"/>
                <w:lang w:val="en-US" w:eastAsia="zh-CN" w:bidi="ar"/>
              </w:rPr>
              <w:t>成品综合包干价≤5万元，包含全部服务及物料费用，采购全程无额外增项费用。</w:t>
            </w:r>
          </w:p>
        </w:tc>
      </w:tr>
      <w:tr w14:paraId="57D7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dxa"/>
            <w:vAlign w:val="top"/>
          </w:tcPr>
          <w:p w14:paraId="0FB5A4D5">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p>
          <w:p w14:paraId="1476770A">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vertAlign w:val="baseline"/>
              </w:rPr>
            </w:pPr>
            <w:r>
              <w:rPr>
                <w:rFonts w:hint="eastAsia" w:ascii="仿宋_GB2312" w:hAnsi="仿宋_GB2312" w:eastAsia="仿宋_GB2312" w:cs="仿宋_GB2312"/>
                <w:kern w:val="0"/>
                <w:sz w:val="28"/>
                <w:szCs w:val="28"/>
                <w:lang w:val="en-US" w:eastAsia="zh-CN" w:bidi="ar"/>
              </w:rPr>
              <w:t>交付要求</w:t>
            </w:r>
          </w:p>
        </w:tc>
        <w:tc>
          <w:tcPr>
            <w:tcW w:w="6719" w:type="dxa"/>
            <w:vAlign w:val="top"/>
          </w:tcPr>
          <w:p w14:paraId="277A9F39">
            <w:pPr>
              <w:keepNext w:val="0"/>
              <w:keepLines w:val="0"/>
              <w:widowControl/>
              <w:numPr>
                <w:ilvl w:val="0"/>
                <w:numId w:val="0"/>
              </w:numPr>
              <w:suppressLineNumbers w:val="0"/>
              <w:jc w:val="left"/>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1.所有品类产品打样实物，设计方案经院方确认后方可生产；</w:t>
            </w:r>
          </w:p>
          <w:p w14:paraId="7A04F609">
            <w:pPr>
              <w:keepNext w:val="0"/>
              <w:keepLines w:val="0"/>
              <w:widowControl/>
              <w:numPr>
                <w:ilvl w:val="0"/>
                <w:numId w:val="0"/>
              </w:numPr>
              <w:suppressLineNumbers w:val="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kern w:val="0"/>
                <w:sz w:val="28"/>
                <w:szCs w:val="28"/>
                <w:lang w:val="en-US" w:eastAsia="zh-CN" w:bidi="ar"/>
              </w:rPr>
              <w:t>按院方指定时间、地点完成配送，确保在医师节活动（2026年8月18日）前全部交付验收；</w:t>
            </w:r>
          </w:p>
          <w:p w14:paraId="70FB1300">
            <w:pPr>
              <w:keepNext w:val="0"/>
              <w:keepLines w:val="0"/>
              <w:widowControl/>
              <w:numPr>
                <w:ilvl w:val="0"/>
                <w:numId w:val="0"/>
              </w:numPr>
              <w:suppressLineNumbers w:val="0"/>
              <w:jc w:val="left"/>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3.</w:t>
            </w:r>
            <w:r>
              <w:rPr>
                <w:rFonts w:hint="eastAsia" w:ascii="仿宋_GB2312" w:hAnsi="仿宋_GB2312" w:eastAsia="仿宋_GB2312" w:cs="仿宋_GB2312"/>
                <w:kern w:val="0"/>
                <w:sz w:val="28"/>
                <w:szCs w:val="28"/>
                <w:lang w:val="en-US" w:eastAsia="zh-CN" w:bidi="ar"/>
              </w:rPr>
              <w:t>提供产品质量保证及售后服务。</w:t>
            </w:r>
          </w:p>
        </w:tc>
      </w:tr>
    </w:tbl>
    <w:p w14:paraId="2E0D144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sz w:val="32"/>
          <w:szCs w:val="32"/>
          <w:lang w:eastAsia="zh-CN"/>
        </w:rPr>
        <w:t>评分</w:t>
      </w:r>
      <w:r>
        <w:rPr>
          <w:rFonts w:hint="eastAsia" w:ascii="黑体" w:hAnsi="黑体" w:eastAsia="黑体" w:cs="黑体"/>
          <w:sz w:val="32"/>
          <w:szCs w:val="32"/>
        </w:rPr>
        <w:t>标准</w:t>
      </w:r>
    </w:p>
    <w:tbl>
      <w:tblPr>
        <w:tblStyle w:val="6"/>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264"/>
        <w:gridCol w:w="1234"/>
        <w:gridCol w:w="5286"/>
      </w:tblGrid>
      <w:tr w14:paraId="27ED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3" w:type="dxa"/>
            <w:vAlign w:val="top"/>
          </w:tcPr>
          <w:p w14:paraId="1A1F9ED9">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kern w:val="0"/>
                <w:sz w:val="24"/>
                <w:szCs w:val="24"/>
                <w:lang w:val="en-US" w:eastAsia="zh-CN" w:bidi="ar"/>
              </w:rPr>
              <w:t>序号</w:t>
            </w:r>
          </w:p>
        </w:tc>
        <w:tc>
          <w:tcPr>
            <w:tcW w:w="1264" w:type="dxa"/>
            <w:vAlign w:val="top"/>
          </w:tcPr>
          <w:p w14:paraId="31575626">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kern w:val="0"/>
                <w:sz w:val="24"/>
                <w:szCs w:val="24"/>
                <w:lang w:val="en-US" w:eastAsia="zh-CN" w:bidi="ar"/>
              </w:rPr>
              <w:t>评分大项</w:t>
            </w:r>
          </w:p>
        </w:tc>
        <w:tc>
          <w:tcPr>
            <w:tcW w:w="1234" w:type="dxa"/>
            <w:vAlign w:val="top"/>
          </w:tcPr>
          <w:p w14:paraId="11187A54">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kern w:val="0"/>
                <w:sz w:val="24"/>
                <w:szCs w:val="24"/>
                <w:lang w:val="en-US" w:eastAsia="zh-CN" w:bidi="ar"/>
              </w:rPr>
              <w:t>分值</w:t>
            </w:r>
          </w:p>
        </w:tc>
        <w:tc>
          <w:tcPr>
            <w:tcW w:w="5286" w:type="dxa"/>
            <w:vAlign w:val="top"/>
          </w:tcPr>
          <w:p w14:paraId="02D478A8">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kern w:val="0"/>
                <w:sz w:val="24"/>
                <w:szCs w:val="24"/>
                <w:lang w:val="en-US" w:eastAsia="zh-CN" w:bidi="ar"/>
              </w:rPr>
              <w:t>评分标准</w:t>
            </w:r>
          </w:p>
        </w:tc>
      </w:tr>
      <w:tr w14:paraId="20D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vAlign w:val="top"/>
          </w:tcPr>
          <w:p w14:paraId="6406B46C">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57A43603">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6E7B067E">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68323FAE">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71E9CCC3">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both"/>
              <w:textAlignment w:val="top"/>
              <w:rPr>
                <w:rFonts w:hint="eastAsia" w:ascii="仿宋_GB2312" w:hAnsi="仿宋_GB2312" w:eastAsia="仿宋_GB2312" w:cs="仿宋_GB2312"/>
                <w:kern w:val="0"/>
                <w:sz w:val="24"/>
                <w:szCs w:val="24"/>
                <w:lang w:val="en-US" w:eastAsia="zh-CN" w:bidi="ar"/>
              </w:rPr>
            </w:pPr>
          </w:p>
          <w:p w14:paraId="2107E6EA">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1</w:t>
            </w:r>
          </w:p>
        </w:tc>
        <w:tc>
          <w:tcPr>
            <w:tcW w:w="1264" w:type="dxa"/>
            <w:vAlign w:val="top"/>
          </w:tcPr>
          <w:p w14:paraId="768645B4">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6386D8CC">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0EE93182">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68D720B8">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1FDB6C3F">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16D3B352">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价格分</w:t>
            </w:r>
          </w:p>
          <w:p w14:paraId="5A6181C6">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p>
        </w:tc>
        <w:tc>
          <w:tcPr>
            <w:tcW w:w="1234" w:type="dxa"/>
            <w:vAlign w:val="top"/>
          </w:tcPr>
          <w:p w14:paraId="0B9163D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62D78A8E">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356E6863">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074113E2">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6E4A0A96">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35CAAD2D">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25分</w:t>
            </w:r>
          </w:p>
        </w:tc>
        <w:tc>
          <w:tcPr>
            <w:tcW w:w="5286" w:type="dxa"/>
            <w:vAlign w:val="top"/>
          </w:tcPr>
          <w:p w14:paraId="0EC14B7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jc w:val="left"/>
              <w:textAlignment w:val="top"/>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val="en-US" w:eastAsia="zh-CN" w:bidi="ar"/>
              </w:rPr>
              <w:t>采用低价优先法计算，通过符合性审查、完全满足本项目全部采购及技术参数要求的最低有效报价为价格基准价，得满分25分；其余有效供应商价格得分计算公式：供应商价格得分=（基准价÷供应商最终报价）×25备注：</w:t>
            </w:r>
          </w:p>
          <w:p w14:paraId="777D18B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bidi="ar"/>
              </w:rPr>
              <w:t>报价包含文创设计、打样、生产、定制、礼盒包装、运输、税费、售后质保等全部包干费用，报价缺项、存在隐形收费的，视为无效报价，不计价格分。</w:t>
            </w:r>
          </w:p>
        </w:tc>
      </w:tr>
      <w:tr w14:paraId="492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vAlign w:val="top"/>
          </w:tcPr>
          <w:p w14:paraId="08BD3CDA">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56964C3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174C304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0D80BB06">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33D47522">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3E8B0B87">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175786DD">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4548EA33">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7914CB23">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624271C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5848D5B9">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2</w:t>
            </w:r>
          </w:p>
        </w:tc>
        <w:tc>
          <w:tcPr>
            <w:tcW w:w="1264" w:type="dxa"/>
            <w:vAlign w:val="top"/>
          </w:tcPr>
          <w:p w14:paraId="77E7AC5D">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086A8B8A">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7EEDD0A8">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6D91F48E">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7F4FCB93">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533B7C67">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575EA365">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03FB762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57900094">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24F046B4">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63D692DC">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设计方案分</w:t>
            </w:r>
          </w:p>
        </w:tc>
        <w:tc>
          <w:tcPr>
            <w:tcW w:w="1234" w:type="dxa"/>
            <w:vAlign w:val="top"/>
          </w:tcPr>
          <w:p w14:paraId="182C7739">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3E1CF486">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57609B9A">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255F5453">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75825311">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146F2C4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6506D9C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2F89ECDC">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01F7D2B8">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36C740B9">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33B4ECCC">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35分</w:t>
            </w:r>
          </w:p>
        </w:tc>
        <w:tc>
          <w:tcPr>
            <w:tcW w:w="5286" w:type="dxa"/>
            <w:vAlign w:val="top"/>
          </w:tcPr>
          <w:p w14:paraId="23B5D035">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提供文创产品设计方案（含设计说明、效果图）：</w:t>
            </w:r>
          </w:p>
          <w:p w14:paraId="1254387E">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1.</w:t>
            </w:r>
            <w:r>
              <w:rPr>
                <w:rFonts w:hint="eastAsia" w:ascii="仿宋_GB2312" w:hAnsi="仿宋_GB2312" w:eastAsia="仿宋_GB2312" w:cs="仿宋_GB2312"/>
                <w:sz w:val="24"/>
                <w:szCs w:val="24"/>
                <w:vertAlign w:val="baseline"/>
              </w:rPr>
              <w:t>岗位差异化设计（</w:t>
            </w:r>
            <w:r>
              <w:rPr>
                <w:rFonts w:hint="eastAsia" w:ascii="仿宋_GB2312" w:hAnsi="仿宋_GB2312" w:eastAsia="仿宋_GB2312" w:cs="仿宋_GB2312"/>
                <w:sz w:val="24"/>
                <w:szCs w:val="24"/>
                <w:vertAlign w:val="baseline"/>
                <w:lang w:val="en-US" w:eastAsia="zh-CN"/>
              </w:rPr>
              <w:t>满分20</w:t>
            </w:r>
            <w:r>
              <w:rPr>
                <w:rFonts w:hint="eastAsia" w:ascii="仿宋_GB2312" w:hAnsi="仿宋_GB2312" w:eastAsia="仿宋_GB2312" w:cs="仿宋_GB2312"/>
                <w:sz w:val="24"/>
                <w:szCs w:val="24"/>
                <w:vertAlign w:val="baseline"/>
              </w:rPr>
              <w:t>分）</w:t>
            </w:r>
          </w:p>
          <w:p w14:paraId="5A57AEEF">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需区分：内科、外科、妇科、儿科、其他临床、医技6大类岗位</w:t>
            </w:r>
          </w:p>
          <w:p w14:paraId="284DCD34">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（1）一档</w:t>
            </w:r>
            <w:r>
              <w:rPr>
                <w:rFonts w:hint="eastAsia" w:ascii="仿宋_GB2312" w:hAnsi="仿宋_GB2312" w:eastAsia="仿宋_GB2312" w:cs="仿宋_GB2312"/>
                <w:sz w:val="24"/>
                <w:szCs w:val="24"/>
                <w:vertAlign w:val="baseline"/>
                <w:lang w:val="en-US" w:eastAsia="zh-CN"/>
              </w:rPr>
              <w:t>10</w:t>
            </w:r>
            <w:r>
              <w:rPr>
                <w:rFonts w:hint="eastAsia" w:ascii="仿宋_GB2312" w:hAnsi="仿宋_GB2312" w:eastAsia="仿宋_GB2312" w:cs="仿宋_GB2312"/>
                <w:sz w:val="24"/>
                <w:szCs w:val="24"/>
                <w:vertAlign w:val="baseline"/>
              </w:rPr>
              <w:t>分：仅外观轻微区分，岗位特色模糊，无法直观区分；</w:t>
            </w:r>
          </w:p>
          <w:p w14:paraId="6DDED519">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（2）二档</w:t>
            </w:r>
            <w:r>
              <w:rPr>
                <w:rFonts w:hint="eastAsia" w:ascii="仿宋_GB2312" w:hAnsi="仿宋_GB2312" w:eastAsia="仿宋_GB2312" w:cs="仿宋_GB2312"/>
                <w:sz w:val="24"/>
                <w:szCs w:val="24"/>
                <w:vertAlign w:val="baseline"/>
                <w:lang w:val="en-US" w:eastAsia="zh-CN"/>
              </w:rPr>
              <w:t>15</w:t>
            </w:r>
            <w:r>
              <w:rPr>
                <w:rFonts w:hint="eastAsia" w:ascii="仿宋_GB2312" w:hAnsi="仿宋_GB2312" w:eastAsia="仿宋_GB2312" w:cs="仿宋_GB2312"/>
                <w:sz w:val="24"/>
                <w:szCs w:val="24"/>
                <w:vertAlign w:val="baseline"/>
              </w:rPr>
              <w:t>分：各岗位设置独立纹样、标识，贴合基础职业特点，但设计寓意单薄，区分度一般；</w:t>
            </w:r>
          </w:p>
          <w:p w14:paraId="6679B90D">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（3）三档</w:t>
            </w:r>
            <w:r>
              <w:rPr>
                <w:rFonts w:hint="eastAsia" w:ascii="仿宋_GB2312" w:hAnsi="仿宋_GB2312" w:eastAsia="仿宋_GB2312" w:cs="仿宋_GB2312"/>
                <w:sz w:val="24"/>
                <w:szCs w:val="24"/>
                <w:vertAlign w:val="baseline"/>
                <w:lang w:val="en-US" w:eastAsia="zh-CN"/>
              </w:rPr>
              <w:t>20</w:t>
            </w:r>
            <w:r>
              <w:rPr>
                <w:rFonts w:hint="eastAsia" w:ascii="仿宋_GB2312" w:hAnsi="仿宋_GB2312" w:eastAsia="仿宋_GB2312" w:cs="仿宋_GB2312"/>
                <w:sz w:val="24"/>
                <w:szCs w:val="24"/>
                <w:vertAlign w:val="baseline"/>
              </w:rPr>
              <w:t>分：六大岗位独立设计主题，元素贴合各科室诊疗工作属性，每类产品附带岗位专属设计寓意，系列整体风格统一、单品差异化鲜明，适配不同岗位医师使用场景。</w:t>
            </w:r>
          </w:p>
          <w:p w14:paraId="7379549F">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2.</w:t>
            </w:r>
            <w:r>
              <w:rPr>
                <w:rFonts w:hint="eastAsia" w:ascii="仿宋_GB2312" w:hAnsi="仿宋_GB2312" w:eastAsia="仿宋_GB2312" w:cs="仿宋_GB2312"/>
                <w:sz w:val="24"/>
                <w:szCs w:val="24"/>
                <w:vertAlign w:val="baseline"/>
              </w:rPr>
              <w:t>产品实用性、创意与落地性（</w:t>
            </w:r>
            <w:r>
              <w:rPr>
                <w:rFonts w:hint="eastAsia" w:ascii="仿宋_GB2312" w:hAnsi="仿宋_GB2312" w:eastAsia="仿宋_GB2312" w:cs="仿宋_GB2312"/>
                <w:sz w:val="24"/>
                <w:szCs w:val="24"/>
                <w:vertAlign w:val="baseline"/>
                <w:lang w:val="en-US" w:eastAsia="zh-CN"/>
              </w:rPr>
              <w:t>满分15</w:t>
            </w:r>
            <w:r>
              <w:rPr>
                <w:rFonts w:hint="eastAsia" w:ascii="仿宋_GB2312" w:hAnsi="仿宋_GB2312" w:eastAsia="仿宋_GB2312" w:cs="仿宋_GB2312"/>
                <w:sz w:val="24"/>
                <w:szCs w:val="24"/>
                <w:vertAlign w:val="baseline"/>
              </w:rPr>
              <w:t>分）</w:t>
            </w:r>
          </w:p>
          <w:p w14:paraId="190E7E0C">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（1）一档</w:t>
            </w:r>
            <w:r>
              <w:rPr>
                <w:rFonts w:hint="eastAsia" w:ascii="仿宋_GB2312" w:hAnsi="仿宋_GB2312" w:eastAsia="仿宋_GB2312" w:cs="仿宋_GB2312"/>
                <w:sz w:val="24"/>
                <w:szCs w:val="24"/>
                <w:vertAlign w:val="baseline"/>
                <w:lang w:val="en-US" w:eastAsia="zh-CN"/>
              </w:rPr>
              <w:t>5</w:t>
            </w:r>
            <w:r>
              <w:rPr>
                <w:rFonts w:hint="eastAsia" w:ascii="仿宋_GB2312" w:hAnsi="仿宋_GB2312" w:eastAsia="仿宋_GB2312" w:cs="仿宋_GB2312"/>
                <w:sz w:val="24"/>
                <w:szCs w:val="24"/>
                <w:vertAlign w:val="baseline"/>
              </w:rPr>
              <w:t>分：文创单品单一、仅装饰无实用价值，材质廉价，批量生产难度大，可落地性差；</w:t>
            </w:r>
          </w:p>
          <w:p w14:paraId="01CC93B2">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（2）二档</w:t>
            </w:r>
            <w:r>
              <w:rPr>
                <w:rFonts w:hint="eastAsia" w:ascii="仿宋_GB2312" w:hAnsi="仿宋_GB2312" w:eastAsia="仿宋_GB2312" w:cs="仿宋_GB2312"/>
                <w:sz w:val="24"/>
                <w:szCs w:val="24"/>
                <w:vertAlign w:val="baseline"/>
                <w:lang w:val="en-US" w:eastAsia="zh-CN"/>
              </w:rPr>
              <w:t>10</w:t>
            </w:r>
            <w:r>
              <w:rPr>
                <w:rFonts w:hint="eastAsia" w:ascii="仿宋_GB2312" w:hAnsi="仿宋_GB2312" w:eastAsia="仿宋_GB2312" w:cs="仿宋_GB2312"/>
                <w:sz w:val="24"/>
                <w:szCs w:val="24"/>
                <w:vertAlign w:val="baseline"/>
              </w:rPr>
              <w:t>分：组合套装搭配合理，兼具纪念与日常使用功能，材质常规，工艺成熟，可正常批量制作；</w:t>
            </w:r>
          </w:p>
          <w:p w14:paraId="5DDE5CA9">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（3）三档</w:t>
            </w:r>
            <w:r>
              <w:rPr>
                <w:rFonts w:hint="eastAsia" w:ascii="仿宋_GB2312" w:hAnsi="仿宋_GB2312" w:eastAsia="仿宋_GB2312" w:cs="仿宋_GB2312"/>
                <w:sz w:val="24"/>
                <w:szCs w:val="24"/>
                <w:vertAlign w:val="baseline"/>
                <w:lang w:val="en-US" w:eastAsia="zh-CN"/>
              </w:rPr>
              <w:t>15</w:t>
            </w:r>
            <w:r>
              <w:rPr>
                <w:rFonts w:hint="eastAsia" w:ascii="仿宋_GB2312" w:hAnsi="仿宋_GB2312" w:eastAsia="仿宋_GB2312" w:cs="仿宋_GB2312"/>
                <w:sz w:val="24"/>
                <w:szCs w:val="24"/>
                <w:vertAlign w:val="baseline"/>
              </w:rPr>
              <w:t>分：套装组合层次丰富，兼顾办公、居家、收藏多重场景，造型新颖创新；材质环保安全、工艺成熟可控，500套批量生产周期可控，修改调整流程清晰，预算匹配度高。</w:t>
            </w:r>
          </w:p>
        </w:tc>
      </w:tr>
      <w:tr w14:paraId="1ECE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vAlign w:val="top"/>
          </w:tcPr>
          <w:p w14:paraId="13A81B8A">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48594FE9">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5C766496">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7A11B341">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3</w:t>
            </w:r>
          </w:p>
        </w:tc>
        <w:tc>
          <w:tcPr>
            <w:tcW w:w="1264" w:type="dxa"/>
            <w:vAlign w:val="top"/>
          </w:tcPr>
          <w:p w14:paraId="4805B321">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79DF8923">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335ABCAD">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60C5161A">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业绩分</w:t>
            </w:r>
          </w:p>
        </w:tc>
        <w:tc>
          <w:tcPr>
            <w:tcW w:w="1234" w:type="dxa"/>
            <w:vAlign w:val="top"/>
          </w:tcPr>
          <w:p w14:paraId="56349C45">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245AC842">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67B103B1">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6808F278">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10分</w:t>
            </w:r>
          </w:p>
        </w:tc>
        <w:tc>
          <w:tcPr>
            <w:tcW w:w="5286" w:type="dxa"/>
            <w:vAlign w:val="top"/>
          </w:tcPr>
          <w:p w14:paraId="46A34C00">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自2020年起有医院、卫健系统、机关事业单位医师节/职工纪念文创定制项目等同类业绩，每份有效业绩得5分，满分10分；</w:t>
            </w:r>
          </w:p>
          <w:p w14:paraId="57632369">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有效材料：合同复印件/成交通知书，清晰体现采购单位、项目名称、文创礼品定制内容、签订时间，材料需盖章；材料模糊、超年份均不计分；无业绩得0分。</w:t>
            </w:r>
          </w:p>
        </w:tc>
      </w:tr>
      <w:tr w14:paraId="41AA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vAlign w:val="top"/>
          </w:tcPr>
          <w:p w14:paraId="137768C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76E54098">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4B9C2EE3">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173344CC">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6AF45E0E">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both"/>
              <w:textAlignment w:val="top"/>
              <w:rPr>
                <w:rFonts w:hint="eastAsia" w:ascii="仿宋_GB2312" w:hAnsi="仿宋_GB2312" w:eastAsia="仿宋_GB2312" w:cs="仿宋_GB2312"/>
                <w:kern w:val="0"/>
                <w:sz w:val="24"/>
                <w:szCs w:val="24"/>
                <w:lang w:val="en-US" w:eastAsia="zh-CN" w:bidi="ar"/>
              </w:rPr>
            </w:pPr>
          </w:p>
          <w:p w14:paraId="61810AE7">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4</w:t>
            </w:r>
          </w:p>
        </w:tc>
        <w:tc>
          <w:tcPr>
            <w:tcW w:w="1264" w:type="dxa"/>
            <w:vAlign w:val="top"/>
          </w:tcPr>
          <w:p w14:paraId="722E7E00">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kern w:val="0"/>
                <w:sz w:val="24"/>
                <w:szCs w:val="24"/>
                <w:lang w:val="en-US" w:eastAsia="zh-CN" w:bidi="ar"/>
              </w:rPr>
            </w:pPr>
          </w:p>
          <w:p w14:paraId="4A23D8DD">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kern w:val="0"/>
                <w:sz w:val="24"/>
                <w:szCs w:val="24"/>
                <w:lang w:val="en-US" w:eastAsia="zh-CN" w:bidi="ar"/>
              </w:rPr>
            </w:pPr>
          </w:p>
          <w:p w14:paraId="4070F15A">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kern w:val="0"/>
                <w:sz w:val="24"/>
                <w:szCs w:val="24"/>
                <w:lang w:val="en-US" w:eastAsia="zh-CN" w:bidi="ar"/>
              </w:rPr>
            </w:pPr>
          </w:p>
          <w:p w14:paraId="7328066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kern w:val="0"/>
                <w:sz w:val="24"/>
                <w:szCs w:val="24"/>
                <w:lang w:val="en-US" w:eastAsia="zh-CN" w:bidi="ar"/>
              </w:rPr>
            </w:pPr>
          </w:p>
          <w:p w14:paraId="2995EB28">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kern w:val="0"/>
                <w:sz w:val="24"/>
                <w:szCs w:val="24"/>
                <w:lang w:val="en-US" w:eastAsia="zh-CN" w:bidi="ar"/>
              </w:rPr>
            </w:pPr>
          </w:p>
          <w:p w14:paraId="52489EC3">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服务方案分</w:t>
            </w:r>
          </w:p>
        </w:tc>
        <w:tc>
          <w:tcPr>
            <w:tcW w:w="1234" w:type="dxa"/>
            <w:vAlign w:val="top"/>
          </w:tcPr>
          <w:p w14:paraId="346F9DE1">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kern w:val="0"/>
                <w:sz w:val="24"/>
                <w:szCs w:val="24"/>
                <w:lang w:val="en-US" w:eastAsia="zh-CN" w:bidi="ar"/>
              </w:rPr>
            </w:pPr>
          </w:p>
          <w:p w14:paraId="6113EEC6">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kern w:val="0"/>
                <w:sz w:val="24"/>
                <w:szCs w:val="24"/>
                <w:lang w:val="en-US" w:eastAsia="zh-CN" w:bidi="ar"/>
              </w:rPr>
            </w:pPr>
          </w:p>
          <w:p w14:paraId="435A215C">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kern w:val="0"/>
                <w:sz w:val="24"/>
                <w:szCs w:val="24"/>
                <w:lang w:val="en-US" w:eastAsia="zh-CN" w:bidi="ar"/>
              </w:rPr>
            </w:pPr>
          </w:p>
          <w:p w14:paraId="17865761">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kern w:val="0"/>
                <w:sz w:val="24"/>
                <w:szCs w:val="24"/>
                <w:lang w:val="en-US" w:eastAsia="zh-CN" w:bidi="ar"/>
              </w:rPr>
            </w:pPr>
          </w:p>
          <w:p w14:paraId="3157F1BF">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kern w:val="0"/>
                <w:sz w:val="24"/>
                <w:szCs w:val="24"/>
                <w:lang w:val="en-US" w:eastAsia="zh-CN" w:bidi="ar"/>
              </w:rPr>
            </w:pPr>
          </w:p>
          <w:p w14:paraId="75CB4E21">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val="en-US" w:eastAsia="zh-CN" w:bidi="ar"/>
              </w:rPr>
              <w:t>25分</w:t>
            </w:r>
          </w:p>
        </w:tc>
        <w:tc>
          <w:tcPr>
            <w:tcW w:w="5286" w:type="dxa"/>
            <w:vAlign w:val="top"/>
          </w:tcPr>
          <w:p w14:paraId="3B7F177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jc w:val="left"/>
              <w:textAlignment w:val="top"/>
              <w:rPr>
                <w:rFonts w:hint="default" w:ascii="仿宋_GB2312" w:hAnsi="仿宋_GB2312" w:eastAsia="仿宋_GB2312" w:cs="仿宋_GB2312"/>
                <w:kern w:val="0"/>
                <w:sz w:val="24"/>
                <w:szCs w:val="24"/>
                <w:lang w:val="en-US" w:bidi="ar"/>
              </w:rPr>
            </w:pPr>
            <w:r>
              <w:rPr>
                <w:rFonts w:hint="eastAsia" w:ascii="仿宋_GB2312" w:hAnsi="仿宋_GB2312" w:eastAsia="仿宋_GB2312" w:cs="仿宋_GB2312"/>
                <w:kern w:val="0"/>
                <w:sz w:val="24"/>
                <w:szCs w:val="24"/>
                <w:lang w:val="en-US" w:eastAsia="zh-CN" w:bidi="ar"/>
              </w:rPr>
              <w:t>评审依据：方案对接机制、设计修改服务、样品打样、生产管控、包装交付、质保售后、应急处置7项内容综合打分，</w:t>
            </w:r>
            <w:r>
              <w:rPr>
                <w:rFonts w:hint="eastAsia" w:ascii="仿宋_GB2312" w:hAnsi="仿宋_GB2312" w:eastAsia="仿宋_GB2312" w:cs="仿宋_GB2312"/>
                <w:sz w:val="24"/>
                <w:szCs w:val="24"/>
                <w:vertAlign w:val="baseline"/>
                <w:lang w:val="en-US" w:eastAsia="zh-CN"/>
              </w:rPr>
              <w:t>满分25分;</w:t>
            </w:r>
          </w:p>
          <w:p w14:paraId="7326DB7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firstLine="0"/>
              <w:jc w:val="left"/>
              <w:textAlignment w:val="top"/>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一档</w:t>
            </w:r>
            <w:r>
              <w:rPr>
                <w:rFonts w:hint="eastAsia" w:ascii="仿宋_GB2312" w:hAnsi="仿宋_GB2312" w:eastAsia="仿宋_GB2312" w:cs="仿宋_GB2312"/>
                <w:kern w:val="0"/>
                <w:sz w:val="24"/>
                <w:szCs w:val="24"/>
                <w:lang w:val="en-US" w:eastAsia="zh-CN" w:bidi="ar"/>
              </w:rPr>
              <w:t>10</w:t>
            </w:r>
            <w:r>
              <w:rPr>
                <w:rFonts w:hint="eastAsia" w:ascii="仿宋_GB2312" w:hAnsi="仿宋_GB2312" w:eastAsia="仿宋_GB2312" w:cs="仿宋_GB2312"/>
                <w:kern w:val="0"/>
                <w:sz w:val="24"/>
                <w:szCs w:val="24"/>
                <w:lang w:bidi="ar"/>
              </w:rPr>
              <w:t>分：服务方案简略，仅简单罗列流程；无专人对接、免费改稿、样品确认机制；缺少破损退换、质保、应急补货</w:t>
            </w:r>
            <w:r>
              <w:rPr>
                <w:rFonts w:hint="eastAsia" w:ascii="仿宋_GB2312" w:hAnsi="仿宋_GB2312" w:eastAsia="仿宋_GB2312" w:cs="仿宋_GB2312"/>
                <w:kern w:val="0"/>
                <w:sz w:val="24"/>
                <w:szCs w:val="24"/>
                <w:lang w:val="en-US" w:eastAsia="zh-CN" w:bidi="ar"/>
              </w:rPr>
              <w:t>及专项售后服务措施</w:t>
            </w:r>
            <w:r>
              <w:rPr>
                <w:rFonts w:hint="eastAsia" w:ascii="仿宋_GB2312" w:hAnsi="仿宋_GB2312" w:eastAsia="仿宋_GB2312" w:cs="仿宋_GB2312"/>
                <w:kern w:val="0"/>
                <w:sz w:val="24"/>
                <w:szCs w:val="24"/>
                <w:lang w:bidi="ar"/>
              </w:rPr>
              <w:t>，质量管控方案缺失。</w:t>
            </w:r>
          </w:p>
          <w:p w14:paraId="4113450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firstLine="0"/>
              <w:jc w:val="left"/>
              <w:textAlignment w:val="top"/>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二档</w:t>
            </w:r>
            <w:r>
              <w:rPr>
                <w:rFonts w:hint="eastAsia" w:ascii="仿宋_GB2312" w:hAnsi="仿宋_GB2312" w:eastAsia="仿宋_GB2312" w:cs="仿宋_GB2312"/>
                <w:kern w:val="0"/>
                <w:sz w:val="24"/>
                <w:szCs w:val="24"/>
                <w:lang w:val="en-US" w:eastAsia="zh-CN" w:bidi="ar"/>
              </w:rPr>
              <w:t>20</w:t>
            </w:r>
            <w:r>
              <w:rPr>
                <w:rFonts w:hint="eastAsia" w:ascii="仿宋_GB2312" w:hAnsi="仿宋_GB2312" w:eastAsia="仿宋_GB2312" w:cs="仿宋_GB2312"/>
                <w:kern w:val="0"/>
                <w:sz w:val="24"/>
                <w:szCs w:val="24"/>
                <w:lang w:bidi="ar"/>
              </w:rPr>
              <w:t>分：方案内容完整，明确一对一专属对接人；承诺免费修改方案、提供1套</w:t>
            </w:r>
            <w:r>
              <w:rPr>
                <w:rFonts w:hint="eastAsia" w:ascii="仿宋_GB2312" w:hAnsi="仿宋_GB2312" w:eastAsia="仿宋_GB2312" w:cs="仿宋_GB2312"/>
                <w:kern w:val="0"/>
                <w:sz w:val="24"/>
                <w:szCs w:val="24"/>
                <w:lang w:val="en-US" w:eastAsia="zh-CN" w:bidi="ar"/>
              </w:rPr>
              <w:t>含6个岗位</w:t>
            </w:r>
            <w:r>
              <w:rPr>
                <w:rFonts w:hint="eastAsia" w:ascii="仿宋_GB2312" w:hAnsi="仿宋_GB2312" w:eastAsia="仿宋_GB2312" w:cs="仿宋_GB2312"/>
                <w:kern w:val="0"/>
                <w:sz w:val="24"/>
                <w:szCs w:val="24"/>
                <w:lang w:bidi="ar"/>
              </w:rPr>
              <w:t>免费样品；列明出厂质检、送货上门、1年质保、破损补发基础条款；应急措施简单，仅能处理常规问题</w:t>
            </w:r>
            <w:r>
              <w:rPr>
                <w:rFonts w:hint="eastAsia" w:ascii="仿宋_GB2312" w:hAnsi="仿宋_GB2312" w:eastAsia="仿宋_GB2312" w:cs="仿宋_GB2312"/>
                <w:kern w:val="0"/>
                <w:sz w:val="24"/>
                <w:szCs w:val="24"/>
                <w:lang w:eastAsia="zh-CN" w:bidi="ar"/>
              </w:rPr>
              <w:t>；</w:t>
            </w:r>
            <w:r>
              <w:rPr>
                <w:rFonts w:hint="eastAsia" w:ascii="仿宋_GB2312" w:hAnsi="仿宋_GB2312" w:eastAsia="仿宋_GB2312" w:cs="仿宋_GB2312"/>
                <w:kern w:val="0"/>
                <w:sz w:val="24"/>
                <w:szCs w:val="24"/>
                <w:lang w:val="en-US" w:eastAsia="zh-CN" w:bidi="ar"/>
              </w:rPr>
              <w:t>仅提供基础售后对接，无专项售后服务保障</w:t>
            </w:r>
            <w:r>
              <w:rPr>
                <w:rFonts w:hint="eastAsia" w:ascii="仿宋_GB2312" w:hAnsi="仿宋_GB2312" w:eastAsia="仿宋_GB2312" w:cs="仿宋_GB2312"/>
                <w:kern w:val="0"/>
                <w:sz w:val="24"/>
                <w:szCs w:val="24"/>
                <w:lang w:bidi="ar"/>
              </w:rPr>
              <w:t>。</w:t>
            </w:r>
          </w:p>
          <w:p w14:paraId="68FEA9B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r>
              <w:rPr>
                <w:rFonts w:hint="eastAsia" w:ascii="仿宋_GB2312" w:hAnsi="仿宋_GB2312" w:eastAsia="仿宋_GB2312" w:cs="仿宋_GB2312"/>
                <w:kern w:val="0"/>
                <w:sz w:val="24"/>
                <w:szCs w:val="24"/>
                <w:lang w:bidi="ar"/>
              </w:rPr>
              <w:t>三档</w:t>
            </w:r>
            <w:r>
              <w:rPr>
                <w:rFonts w:hint="eastAsia" w:ascii="仿宋_GB2312" w:hAnsi="仿宋_GB2312" w:eastAsia="仿宋_GB2312" w:cs="仿宋_GB2312"/>
                <w:kern w:val="0"/>
                <w:sz w:val="24"/>
                <w:szCs w:val="24"/>
                <w:lang w:val="en-US" w:eastAsia="zh-CN" w:bidi="ar"/>
              </w:rPr>
              <w:t>25</w:t>
            </w:r>
            <w:r>
              <w:rPr>
                <w:rFonts w:hint="eastAsia" w:ascii="仿宋_GB2312" w:hAnsi="仿宋_GB2312" w:eastAsia="仿宋_GB2312" w:cs="仿宋_GB2312"/>
                <w:kern w:val="0"/>
                <w:sz w:val="24"/>
                <w:szCs w:val="24"/>
                <w:lang w:bidi="ar"/>
              </w:rPr>
              <w:t>分：方案详实可落地：①不限次数免费方案调整，提供2套及以上样品供院方筛选；②生产全流程质检，每件产品出厂检验；③按6大岗位分类独立礼盒、分区分包配送，到场协助清点；④质保期≥12个月，24小时售后响应，瑕疵品免费补发；⑤针对临时增补人数、批量工艺瑕疵、加急交付设置完整应急处置预案</w:t>
            </w:r>
            <w:r>
              <w:rPr>
                <w:rFonts w:hint="eastAsia" w:ascii="仿宋_GB2312" w:hAnsi="仿宋_GB2312" w:eastAsia="仿宋_GB2312" w:cs="仿宋_GB2312"/>
                <w:kern w:val="0"/>
                <w:sz w:val="24"/>
                <w:szCs w:val="24"/>
                <w:lang w:eastAsia="zh-CN" w:bidi="ar"/>
              </w:rPr>
              <w:t>；</w:t>
            </w:r>
            <w:r>
              <w:rPr>
                <w:rFonts w:hint="eastAsia" w:ascii="仿宋_GB2312" w:hAnsi="仿宋_GB2312" w:eastAsia="仿宋_GB2312" w:cs="仿宋_GB2312"/>
                <w:kern w:val="0"/>
                <w:sz w:val="24"/>
                <w:szCs w:val="24"/>
                <w:lang w:val="en-US" w:eastAsia="zh-CN" w:bidi="ar"/>
              </w:rPr>
              <w:t>⑥配套完善、可落地的专项售后服务承诺，全周期保障项目服务品质</w:t>
            </w:r>
            <w:r>
              <w:rPr>
                <w:rFonts w:hint="eastAsia" w:ascii="仿宋_GB2312" w:hAnsi="仿宋_GB2312" w:eastAsia="仿宋_GB2312" w:cs="仿宋_GB2312"/>
                <w:kern w:val="0"/>
                <w:sz w:val="24"/>
                <w:szCs w:val="24"/>
                <w:lang w:bidi="ar"/>
              </w:rPr>
              <w:t>。</w:t>
            </w:r>
          </w:p>
        </w:tc>
      </w:tr>
      <w:tr w14:paraId="3996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vAlign w:val="top"/>
          </w:tcPr>
          <w:p w14:paraId="729073DA">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bidi="ar"/>
              </w:rPr>
            </w:pPr>
          </w:p>
          <w:p w14:paraId="18C57BE6">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eastAsia" w:ascii="仿宋_GB2312" w:hAnsi="仿宋_GB2312" w:eastAsia="仿宋_GB2312" w:cs="仿宋_GB2312"/>
                <w:kern w:val="0"/>
                <w:sz w:val="24"/>
                <w:szCs w:val="24"/>
                <w:lang w:val="en-US" w:eastAsia="zh-CN" w:bidi="ar"/>
              </w:rPr>
            </w:pPr>
          </w:p>
          <w:p w14:paraId="0E66F341">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center"/>
              <w:textAlignment w:val="top"/>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5</w:t>
            </w:r>
          </w:p>
        </w:tc>
        <w:tc>
          <w:tcPr>
            <w:tcW w:w="1264" w:type="dxa"/>
            <w:vAlign w:val="top"/>
          </w:tcPr>
          <w:p w14:paraId="2F65A571">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4B44662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09846BB9">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其他分</w:t>
            </w:r>
          </w:p>
        </w:tc>
        <w:tc>
          <w:tcPr>
            <w:tcW w:w="1234" w:type="dxa"/>
            <w:vAlign w:val="top"/>
          </w:tcPr>
          <w:p w14:paraId="52061372">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1A254144">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p w14:paraId="30C1CD31">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5分</w:t>
            </w:r>
          </w:p>
        </w:tc>
        <w:tc>
          <w:tcPr>
            <w:tcW w:w="5286" w:type="dxa"/>
            <w:vAlign w:val="top"/>
          </w:tcPr>
          <w:p w14:paraId="4970E3E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磋商现场可携带相关项目实物样品，供现场展示评审：</w:t>
            </w:r>
          </w:p>
          <w:p w14:paraId="240D0B7D">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未携带任何实物样品，0分。</w:t>
            </w:r>
          </w:p>
          <w:p w14:paraId="65F37E18">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bidi="ar"/>
              </w:rPr>
              <w:t>一档</w:t>
            </w:r>
            <w:r>
              <w:rPr>
                <w:rFonts w:hint="eastAsia" w:ascii="仿宋_GB2312" w:hAnsi="仿宋_GB2312" w:eastAsia="仿宋_GB2312" w:cs="仿宋_GB2312"/>
                <w:kern w:val="0"/>
                <w:sz w:val="24"/>
                <w:szCs w:val="24"/>
                <w:lang w:val="en-US" w:eastAsia="zh-CN" w:bidi="ar"/>
              </w:rPr>
              <w:t>2分：仅携带通用样品、无岗位区分样品；</w:t>
            </w:r>
          </w:p>
          <w:p w14:paraId="4C1F372B">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二档5分：携带完整6大类岗位差异化实物样品，做工精良、材质质感优秀。</w:t>
            </w:r>
          </w:p>
          <w:p w14:paraId="4AD20126">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kern w:val="0"/>
                <w:sz w:val="24"/>
                <w:szCs w:val="24"/>
                <w:lang w:val="en-US" w:eastAsia="zh-CN" w:bidi="ar"/>
              </w:rPr>
            </w:pPr>
          </w:p>
        </w:tc>
      </w:tr>
      <w:tr w14:paraId="2E68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7" w:type="dxa"/>
            <w:gridSpan w:val="2"/>
            <w:vAlign w:val="top"/>
          </w:tcPr>
          <w:p w14:paraId="67BDED42">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Style w:val="8"/>
                <w:rFonts w:hint="default" w:ascii="仿宋_GB2312" w:hAnsi="仿宋_GB2312" w:eastAsia="仿宋_GB2312" w:cs="仿宋_GB2312"/>
                <w:kern w:val="0"/>
                <w:sz w:val="24"/>
                <w:szCs w:val="24"/>
                <w:lang w:val="en-US" w:eastAsia="zh-CN" w:bidi="ar"/>
              </w:rPr>
            </w:pPr>
            <w:r>
              <w:rPr>
                <w:rStyle w:val="8"/>
                <w:rFonts w:hint="eastAsia" w:ascii="仿宋_GB2312" w:hAnsi="仿宋_GB2312" w:eastAsia="仿宋_GB2312" w:cs="仿宋_GB2312"/>
                <w:kern w:val="0"/>
                <w:sz w:val="24"/>
                <w:szCs w:val="24"/>
                <w:lang w:val="en-US" w:eastAsia="zh-CN" w:bidi="ar"/>
              </w:rPr>
              <w:t>合计</w:t>
            </w:r>
          </w:p>
        </w:tc>
        <w:tc>
          <w:tcPr>
            <w:tcW w:w="1234" w:type="dxa"/>
            <w:vAlign w:val="top"/>
          </w:tcPr>
          <w:p w14:paraId="2CF1FF6D">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Style w:val="8"/>
                <w:rFonts w:hint="default" w:ascii="仿宋_GB2312" w:hAnsi="仿宋_GB2312" w:eastAsia="仿宋_GB2312" w:cs="仿宋_GB2312"/>
                <w:kern w:val="0"/>
                <w:sz w:val="24"/>
                <w:szCs w:val="24"/>
                <w:lang w:val="en-US" w:eastAsia="zh-CN" w:bidi="ar"/>
              </w:rPr>
            </w:pPr>
            <w:r>
              <w:rPr>
                <w:rStyle w:val="8"/>
                <w:rFonts w:hint="eastAsia" w:ascii="仿宋_GB2312" w:hAnsi="仿宋_GB2312" w:eastAsia="仿宋_GB2312" w:cs="仿宋_GB2312"/>
                <w:kern w:val="0"/>
                <w:sz w:val="24"/>
                <w:szCs w:val="24"/>
                <w:lang w:val="en-US" w:eastAsia="zh-CN" w:bidi="ar"/>
              </w:rPr>
              <w:t>100分</w:t>
            </w:r>
          </w:p>
        </w:tc>
        <w:tc>
          <w:tcPr>
            <w:tcW w:w="5286" w:type="dxa"/>
            <w:vAlign w:val="top"/>
          </w:tcPr>
          <w:p w14:paraId="00263435">
            <w:pPr>
              <w:keepNext w:val="0"/>
              <w:keepLines w:val="0"/>
              <w:widowControl/>
              <w:suppressLineNumbers w:val="0"/>
              <w:pBdr>
                <w:top w:val="none" w:color="auto" w:sz="0" w:space="0"/>
                <w:left w:val="none" w:color="auto" w:sz="0" w:space="0"/>
                <w:bottom w:val="none" w:color="auto" w:sz="0" w:space="0"/>
                <w:right w:val="none" w:color="auto" w:sz="0" w:space="0"/>
              </w:pBdr>
              <w:spacing w:line="400" w:lineRule="exact"/>
              <w:jc w:val="left"/>
              <w:textAlignment w:val="top"/>
              <w:rPr>
                <w:rFonts w:hint="eastAsia" w:ascii="仿宋_GB2312" w:hAnsi="仿宋_GB2312" w:eastAsia="仿宋_GB2312" w:cs="仿宋_GB2312"/>
                <w:sz w:val="24"/>
                <w:szCs w:val="24"/>
                <w:vertAlign w:val="baseline"/>
              </w:rPr>
            </w:pPr>
          </w:p>
        </w:tc>
      </w:tr>
    </w:tbl>
    <w:p w14:paraId="13A78FD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四、供应商资格要求</w:t>
      </w:r>
    </w:p>
    <w:p w14:paraId="0C1F5A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1.符合《中华人民共和国政府采购法》第二十二条规定条件</w:t>
      </w:r>
      <w:r>
        <w:rPr>
          <w:rFonts w:hint="eastAsia" w:ascii="仿宋_GB2312" w:hAnsi="仿宋_GB2312" w:eastAsia="仿宋_GB2312" w:cs="仿宋_GB2312"/>
          <w:sz w:val="32"/>
          <w:szCs w:val="32"/>
          <w:lang w:eastAsia="zh-CN"/>
        </w:rPr>
        <w:t>；</w:t>
      </w:r>
    </w:p>
    <w:p w14:paraId="57E00E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2.国内注册，具备合法经营资格的供应商</w:t>
      </w:r>
      <w:r>
        <w:rPr>
          <w:rFonts w:hint="eastAsia" w:ascii="仿宋_GB2312" w:hAnsi="仿宋_GB2312" w:eastAsia="仿宋_GB2312" w:cs="仿宋_GB2312"/>
          <w:sz w:val="32"/>
          <w:szCs w:val="32"/>
          <w:lang w:eastAsia="zh-CN"/>
        </w:rPr>
        <w:t>；</w:t>
      </w:r>
    </w:p>
    <w:p w14:paraId="5B63A5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3.本项目不接受联合体投标</w:t>
      </w:r>
      <w:r>
        <w:rPr>
          <w:rFonts w:hint="eastAsia" w:ascii="仿宋_GB2312" w:hAnsi="仿宋_GB2312" w:eastAsia="仿宋_GB2312" w:cs="仿宋_GB2312"/>
          <w:sz w:val="32"/>
          <w:szCs w:val="32"/>
          <w:lang w:eastAsia="zh-CN"/>
        </w:rPr>
        <w:t>；</w:t>
      </w:r>
    </w:p>
    <w:p w14:paraId="4F2FAD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4.对在"信用中国"、中国政府采购网等渠道列入失信被执行人、重大税收违法案件当事人名单、政府采购严重违法失信行为记录名单的供应商，拒绝参与</w:t>
      </w:r>
      <w:r>
        <w:rPr>
          <w:rFonts w:hint="eastAsia" w:ascii="仿宋_GB2312" w:hAnsi="仿宋_GB2312" w:eastAsia="仿宋_GB2312" w:cs="仿宋_GB2312"/>
          <w:sz w:val="32"/>
          <w:szCs w:val="32"/>
          <w:lang w:eastAsia="zh-CN"/>
        </w:rPr>
        <w:t>；</w:t>
      </w:r>
    </w:p>
    <w:p w14:paraId="0B6283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5.单位负责人为同一人或存在直接控股、管理关系的不同供应商，不得同时参与本项目</w:t>
      </w:r>
      <w:r>
        <w:rPr>
          <w:rFonts w:hint="eastAsia" w:ascii="仿宋_GB2312" w:hAnsi="仿宋_GB2312" w:eastAsia="仿宋_GB2312" w:cs="仿宋_GB2312"/>
          <w:sz w:val="32"/>
          <w:szCs w:val="32"/>
          <w:lang w:eastAsia="zh-CN"/>
        </w:rPr>
        <w:t>。</w:t>
      </w:r>
    </w:p>
    <w:p w14:paraId="7AA7A187">
      <w:pPr>
        <w:pStyle w:val="2"/>
        <w:keepNext w:val="0"/>
        <w:keepLines w:val="0"/>
        <w:pageBreakBefore w:val="0"/>
        <w:widowControl/>
        <w:suppressLineNumbers w:val="0"/>
        <w:kinsoku/>
        <w:wordWrap/>
        <w:overflowPunct/>
        <w:topLinePunct w:val="0"/>
        <w:bidi w:val="0"/>
        <w:snapToGrid/>
        <w:spacing w:beforeAutospacing="0" w:afterAutospacing="0" w:line="5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五、报名及</w:t>
      </w:r>
      <w:r>
        <w:rPr>
          <w:rFonts w:hint="eastAsia" w:ascii="黑体" w:hAnsi="黑体" w:eastAsia="黑体" w:cs="黑体"/>
          <w:sz w:val="32"/>
          <w:szCs w:val="32"/>
          <w:lang w:eastAsia="zh-CN"/>
        </w:rPr>
        <w:t>评分</w:t>
      </w:r>
      <w:r>
        <w:rPr>
          <w:rFonts w:hint="eastAsia" w:ascii="黑体" w:hAnsi="黑体" w:eastAsia="黑体" w:cs="黑体"/>
          <w:sz w:val="32"/>
          <w:szCs w:val="32"/>
        </w:rPr>
        <w:t>须知</w:t>
      </w:r>
    </w:p>
    <w:p w14:paraId="29FA34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报名材料：营业执照复印件（加盖公章）、法定代表人授权书及身份证复印件、相关资质证件</w:t>
      </w:r>
      <w:r>
        <w:rPr>
          <w:rFonts w:hint="eastAsia" w:ascii="仿宋_GB2312" w:hAnsi="仿宋_GB2312" w:eastAsia="仿宋_GB2312" w:cs="仿宋_GB2312"/>
          <w:sz w:val="32"/>
          <w:szCs w:val="32"/>
          <w:lang w:eastAsia="zh-CN"/>
        </w:rPr>
        <w:t>；</w:t>
      </w:r>
    </w:p>
    <w:p w14:paraId="2FD34F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评分</w:t>
      </w:r>
      <w:r>
        <w:rPr>
          <w:rFonts w:hint="eastAsia" w:ascii="仿宋_GB2312" w:hAnsi="仿宋_GB2312" w:eastAsia="仿宋_GB2312" w:cs="仿宋_GB2312"/>
          <w:sz w:val="32"/>
          <w:szCs w:val="32"/>
        </w:rPr>
        <w:t>文件：报价清单（首页）、设计方案、服务方案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售后服务承诺、</w:t>
      </w:r>
      <w:r>
        <w:rPr>
          <w:rFonts w:hint="eastAsia" w:ascii="仿宋_GB2312" w:hAnsi="仿宋_GB2312" w:eastAsia="仿宋_GB2312" w:cs="仿宋_GB2312"/>
          <w:sz w:val="32"/>
          <w:szCs w:val="32"/>
        </w:rPr>
        <w:t>业绩证明材料，按顺序装订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提供页码索引</w:t>
      </w:r>
      <w:r>
        <w:rPr>
          <w:rFonts w:hint="eastAsia" w:ascii="仿宋_GB2312" w:hAnsi="仿宋_GB2312" w:eastAsia="仿宋_GB2312" w:cs="仿宋_GB2312"/>
          <w:sz w:val="32"/>
          <w:szCs w:val="32"/>
          <w:lang w:eastAsia="zh-CN"/>
        </w:rPr>
        <w:t>；</w:t>
      </w:r>
    </w:p>
    <w:p w14:paraId="36FB4E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评分</w:t>
      </w:r>
      <w:r>
        <w:rPr>
          <w:rFonts w:hint="eastAsia" w:ascii="仿宋_GB2312" w:hAnsi="仿宋_GB2312" w:eastAsia="仿宋_GB2312" w:cs="仿宋_GB2312"/>
          <w:sz w:val="32"/>
          <w:szCs w:val="32"/>
        </w:rPr>
        <w:t>文件份数：一式5份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1正4副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，加盖公章有效</w:t>
      </w:r>
      <w:r>
        <w:rPr>
          <w:rFonts w:hint="eastAsia" w:ascii="仿宋_GB2312" w:hAnsi="仿宋_GB2312" w:eastAsia="仿宋_GB2312" w:cs="仿宋_GB2312"/>
          <w:sz w:val="32"/>
          <w:szCs w:val="32"/>
          <w:lang w:eastAsia="zh-CN"/>
        </w:rPr>
        <w:t>；</w:t>
      </w:r>
    </w:p>
    <w:p w14:paraId="046D35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评分</w:t>
      </w:r>
      <w:r>
        <w:rPr>
          <w:rFonts w:hint="eastAsia" w:ascii="仿宋_GB2312" w:hAnsi="仿宋_GB2312" w:eastAsia="仿宋_GB2312" w:cs="仿宋_GB2312"/>
          <w:sz w:val="32"/>
          <w:szCs w:val="32"/>
        </w:rPr>
        <w:t>时间及地点：另行通知</w:t>
      </w:r>
      <w:r>
        <w:rPr>
          <w:rFonts w:hint="eastAsia" w:ascii="仿宋_GB2312" w:hAnsi="仿宋_GB2312" w:eastAsia="仿宋_GB2312" w:cs="仿宋_GB2312"/>
          <w:sz w:val="32"/>
          <w:szCs w:val="32"/>
          <w:lang w:eastAsia="zh-CN"/>
        </w:rPr>
        <w:t>。</w:t>
      </w:r>
    </w:p>
    <w:p w14:paraId="72817AE9">
      <w:pPr>
        <w:rPr>
          <w:rFonts w:hint="default" w:ascii="黑体" w:hAnsi="黑体" w:eastAsia="黑体" w:cs="黑体"/>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A48EB93-65CF-4CBF-BDF1-776F3701E9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00000001" w:usb1="080E0000" w:usb2="00000000" w:usb3="00000000" w:csb0="00040000" w:csb1="00000000"/>
    <w:embedRegular r:id="rId2" w:fontKey="{8A49A20C-A4BA-48F1-B4E5-4AD268078EDB}"/>
  </w:font>
  <w:font w:name="仿宋_GB2312">
    <w:panose1 w:val="02010609030101010101"/>
    <w:charset w:val="86"/>
    <w:family w:val="auto"/>
    <w:pitch w:val="default"/>
    <w:sig w:usb0="00000001" w:usb1="080E0000" w:usb2="00000000" w:usb3="00000000" w:csb0="00040000" w:csb1="00000000"/>
    <w:embedRegular r:id="rId3" w:fontKey="{5DA3C15C-B82F-47A5-A613-F101E86ACB52}"/>
  </w:font>
  <w:font w:name="楷体_GB2312">
    <w:panose1 w:val="02010609030101010101"/>
    <w:charset w:val="86"/>
    <w:family w:val="auto"/>
    <w:pitch w:val="default"/>
    <w:sig w:usb0="00000001" w:usb1="080E0000" w:usb2="00000000" w:usb3="00000000" w:csb0="00040000" w:csb1="00000000"/>
    <w:embedRegular r:id="rId4" w:fontKey="{83999D96-6EFA-4B4C-B77E-0F63FB8C552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013A90"/>
    <w:rsid w:val="00544619"/>
    <w:rsid w:val="009D07A6"/>
    <w:rsid w:val="0116312F"/>
    <w:rsid w:val="024F3496"/>
    <w:rsid w:val="03535C3B"/>
    <w:rsid w:val="04013A90"/>
    <w:rsid w:val="04223B99"/>
    <w:rsid w:val="063F20D4"/>
    <w:rsid w:val="06BC4EBD"/>
    <w:rsid w:val="07A82607"/>
    <w:rsid w:val="081B54CF"/>
    <w:rsid w:val="083D4E69"/>
    <w:rsid w:val="0B1E086E"/>
    <w:rsid w:val="0B250AB1"/>
    <w:rsid w:val="0C037893"/>
    <w:rsid w:val="0E820CEC"/>
    <w:rsid w:val="0F032819"/>
    <w:rsid w:val="0F490B74"/>
    <w:rsid w:val="1288550F"/>
    <w:rsid w:val="12B82336"/>
    <w:rsid w:val="13AC35E8"/>
    <w:rsid w:val="15E83BB9"/>
    <w:rsid w:val="16461969"/>
    <w:rsid w:val="173130ED"/>
    <w:rsid w:val="189901EF"/>
    <w:rsid w:val="1A9C3DE6"/>
    <w:rsid w:val="1AB83CE8"/>
    <w:rsid w:val="1C1A06AB"/>
    <w:rsid w:val="1D7B63DC"/>
    <w:rsid w:val="1DE46D9F"/>
    <w:rsid w:val="20121DAB"/>
    <w:rsid w:val="20D47299"/>
    <w:rsid w:val="21785657"/>
    <w:rsid w:val="237B69CA"/>
    <w:rsid w:val="242B219E"/>
    <w:rsid w:val="249B0A92"/>
    <w:rsid w:val="252E3224"/>
    <w:rsid w:val="25315A92"/>
    <w:rsid w:val="27F062A7"/>
    <w:rsid w:val="2C8B4122"/>
    <w:rsid w:val="2D840FE8"/>
    <w:rsid w:val="2F3E36CD"/>
    <w:rsid w:val="2F511653"/>
    <w:rsid w:val="3078676B"/>
    <w:rsid w:val="357D65D2"/>
    <w:rsid w:val="36220BC3"/>
    <w:rsid w:val="36296503"/>
    <w:rsid w:val="3663541C"/>
    <w:rsid w:val="36D8249B"/>
    <w:rsid w:val="37673F54"/>
    <w:rsid w:val="37D56B99"/>
    <w:rsid w:val="397B72CC"/>
    <w:rsid w:val="3AB962FE"/>
    <w:rsid w:val="3AFB63BF"/>
    <w:rsid w:val="3C77021F"/>
    <w:rsid w:val="3F3E00E0"/>
    <w:rsid w:val="407231D7"/>
    <w:rsid w:val="41091CFF"/>
    <w:rsid w:val="41526B64"/>
    <w:rsid w:val="41D84409"/>
    <w:rsid w:val="421B789E"/>
    <w:rsid w:val="45B2742E"/>
    <w:rsid w:val="475E4DF3"/>
    <w:rsid w:val="482E6F96"/>
    <w:rsid w:val="4AAB047E"/>
    <w:rsid w:val="4AAC19DB"/>
    <w:rsid w:val="4ADA20A4"/>
    <w:rsid w:val="4D6B16DA"/>
    <w:rsid w:val="4D9A259C"/>
    <w:rsid w:val="4F0A0A7E"/>
    <w:rsid w:val="50BE3A80"/>
    <w:rsid w:val="530A729F"/>
    <w:rsid w:val="534C3D5B"/>
    <w:rsid w:val="54B35979"/>
    <w:rsid w:val="54FB1595"/>
    <w:rsid w:val="57B13C22"/>
    <w:rsid w:val="58131B0A"/>
    <w:rsid w:val="586438F5"/>
    <w:rsid w:val="58951D01"/>
    <w:rsid w:val="589D0BB5"/>
    <w:rsid w:val="58D565A1"/>
    <w:rsid w:val="59F07EF6"/>
    <w:rsid w:val="5A736072"/>
    <w:rsid w:val="5BD448EE"/>
    <w:rsid w:val="5CAB38A1"/>
    <w:rsid w:val="5DED6968"/>
    <w:rsid w:val="600532C8"/>
    <w:rsid w:val="62546789"/>
    <w:rsid w:val="629D1EDE"/>
    <w:rsid w:val="65CC4009"/>
    <w:rsid w:val="66C12033"/>
    <w:rsid w:val="68FD6DD3"/>
    <w:rsid w:val="6AA67A06"/>
    <w:rsid w:val="6ADD17F1"/>
    <w:rsid w:val="6BEA5A68"/>
    <w:rsid w:val="6CEA7C39"/>
    <w:rsid w:val="6E25701D"/>
    <w:rsid w:val="6F2E3EBD"/>
    <w:rsid w:val="6F54601A"/>
    <w:rsid w:val="6F651FD5"/>
    <w:rsid w:val="6FF173C5"/>
    <w:rsid w:val="70480FAF"/>
    <w:rsid w:val="70AE4B6D"/>
    <w:rsid w:val="714F4CEB"/>
    <w:rsid w:val="72C25048"/>
    <w:rsid w:val="73326A8A"/>
    <w:rsid w:val="73704E95"/>
    <w:rsid w:val="742A7ABE"/>
    <w:rsid w:val="7B160627"/>
    <w:rsid w:val="7C4B472E"/>
    <w:rsid w:val="7CDC31AB"/>
    <w:rsid w:val="7DE71E07"/>
    <w:rsid w:val="7DFD4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Default"/>
    <w:unhideWhenUsed/>
    <w:qFormat/>
    <w:uiPriority w:val="99"/>
    <w:pPr>
      <w:widowControl w:val="0"/>
      <w:autoSpaceDE w:val="0"/>
      <w:autoSpaceDN w:val="0"/>
      <w:adjustRightInd w:val="0"/>
    </w:pPr>
    <w:rPr>
      <w:rFonts w:ascii="????" w:hAnsi="Times New Roman" w:eastAsia="Times New Roman" w:cs="????"/>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3200</Words>
  <Characters>3339</Characters>
  <Lines>0</Lines>
  <Paragraphs>0</Paragraphs>
  <TotalTime>4</TotalTime>
  <ScaleCrop>false</ScaleCrop>
  <LinksUpToDate>false</LinksUpToDate>
  <CharactersWithSpaces>3339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2026-07-14T09:21:00Z</dcterms:created>
  <dc:creator>Cpj</dc:creator>
  <cp:lastModifiedBy>Cpj</cp:lastModifiedBy>
  <cp:lastPrinted>2026-07-22T10:35:00Z</cp:lastPrinted>
  <dcterms:modified xsi:type="dcterms:W3CDTF">2026-07-22T10:50:33Z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D6BDD4F761C84C23A462712A9294C8C4_13</vt:lpwstr>
  </property>
  <property fmtid="{D5CDD505-2E9C-101B-9397-08002B2CF9AE}" pid="4" name="KSOTemplateDocerSaveRecord">
    <vt:lpwstr>eyJoZGlkIjoiYmViYzZjNDVlNDFjZjc3YTZmOTc0Yjc3ZGE0NWIxNDciLCJ1c2VySWQiOiIyNTMzNTQ4MjIifQ==</vt:lpwstr>
  </property>
</Properties>
</file>