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D2CE"/>
    <w:p w14:paraId="6E19C8C1"/>
    <w:p w14:paraId="69C076BE">
      <w:pPr>
        <w:spacing w:line="720" w:lineRule="auto"/>
        <w:jc w:val="center"/>
        <w:rPr>
          <w:rFonts w:hint="default"/>
          <w:b/>
          <w:sz w:val="48"/>
          <w:lang w:val="en-US"/>
        </w:rPr>
      </w:pPr>
      <w:r>
        <w:rPr>
          <w:rFonts w:hint="eastAsia"/>
          <w:b/>
          <w:sz w:val="48"/>
          <w:lang w:val="en-US" w:eastAsia="zh-Hans"/>
        </w:rPr>
        <w:t>中山大学附属第一医院广西医院采购全流程管理系统</w:t>
      </w:r>
      <w:r>
        <w:rPr>
          <w:rFonts w:hint="eastAsia"/>
          <w:b/>
          <w:sz w:val="48"/>
          <w:lang w:val="en-US" w:eastAsia="zh-CN"/>
        </w:rPr>
        <w:t>-</w:t>
      </w:r>
      <w:r>
        <w:rPr>
          <w:rFonts w:hint="eastAsia"/>
          <w:b/>
          <w:sz w:val="48"/>
          <w:lang w:val="en-US" w:eastAsia="zh-Hans"/>
        </w:rPr>
        <w:t>电子交易</w:t>
      </w:r>
      <w:r>
        <w:rPr>
          <w:rFonts w:hint="eastAsia"/>
          <w:b/>
          <w:sz w:val="48"/>
          <w:lang w:val="en-US" w:eastAsia="zh-CN"/>
        </w:rPr>
        <w:t xml:space="preserve">系统 </w:t>
      </w:r>
    </w:p>
    <w:p w14:paraId="676D30B9">
      <w:pPr>
        <w:pStyle w:val="22"/>
        <w:spacing w:line="720" w:lineRule="auto"/>
        <w:rPr>
          <w:rFonts w:hint="eastAsia"/>
        </w:rPr>
      </w:pPr>
      <w:r>
        <w:rPr>
          <w:rFonts w:hint="eastAsia"/>
        </w:rPr>
        <w:t>操作手册</w:t>
      </w:r>
    </w:p>
    <w:p w14:paraId="5B1230C0">
      <w:pPr>
        <w:pStyle w:val="22"/>
        <w:spacing w:line="720" w:lineRule="auto"/>
        <w:rPr>
          <w:rFonts w:hint="eastAsia"/>
          <w:lang w:val="en-US" w:eastAsia="zh-CN"/>
        </w:rPr>
      </w:pPr>
    </w:p>
    <w:p w14:paraId="15E81173">
      <w:pPr>
        <w:pStyle w:val="22"/>
        <w:spacing w:line="720" w:lineRule="auto"/>
        <w:rPr>
          <w:rFonts w:hint="eastAsia"/>
          <w:lang w:val="en-US" w:eastAsia="zh-CN"/>
        </w:rPr>
      </w:pPr>
    </w:p>
    <w:p w14:paraId="3B629A88">
      <w:pPr>
        <w:pStyle w:val="22"/>
        <w:spacing w:line="720" w:lineRule="auto"/>
        <w:jc w:val="both"/>
        <w:rPr>
          <w:rFonts w:hint="eastAsia"/>
          <w:lang w:val="en-US" w:eastAsia="zh-CN"/>
        </w:rPr>
      </w:pPr>
    </w:p>
    <w:p w14:paraId="436457C6">
      <w:pPr>
        <w:pStyle w:val="22"/>
        <w:spacing w:line="720" w:lineRule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供应商</w:t>
      </w:r>
    </w:p>
    <w:p w14:paraId="7B561447"/>
    <w:p w14:paraId="51955AD8"/>
    <w:p w14:paraId="6B4B96E0"/>
    <w:p w14:paraId="73312F7C"/>
    <w:p w14:paraId="6ADA3E76"/>
    <w:p w14:paraId="4742FF22">
      <w:pPr>
        <w:pStyle w:val="2"/>
      </w:pPr>
    </w:p>
    <w:p w14:paraId="2B607842"/>
    <w:p w14:paraId="753893B7">
      <w:pPr>
        <w:pStyle w:val="2"/>
      </w:pPr>
    </w:p>
    <w:p w14:paraId="47D05BDE">
      <w:pPr>
        <w:jc w:val="center"/>
        <w:rPr>
          <w:rFonts w:hint="default" w:eastAsiaTheme="minorEastAsia"/>
          <w:sz w:val="36"/>
          <w:szCs w:val="40"/>
          <w:lang w:val="en-US" w:eastAsia="zh-CN"/>
        </w:rPr>
      </w:pPr>
      <w:r>
        <w:rPr>
          <w:rFonts w:hint="eastAsia"/>
          <w:sz w:val="36"/>
          <w:szCs w:val="40"/>
          <w:lang w:val="en-US" w:eastAsia="zh-CN"/>
        </w:rPr>
        <w:t>2026年7月</w:t>
      </w:r>
    </w:p>
    <w:p w14:paraId="769E802D"/>
    <w:p w14:paraId="7DB3F7A6"/>
    <w:p w14:paraId="37DEFD67"/>
    <w:p w14:paraId="7B9FBEB8"/>
    <w:p w14:paraId="3674961B">
      <w:pPr>
        <w:pStyle w:val="3"/>
        <w:rPr>
          <w:b/>
          <w:bCs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  <w:bookmarkStart w:id="0" w:name="_Toc57297151"/>
    </w:p>
    <w:bookmarkEnd w:id="0"/>
    <w:p w14:paraId="0A381806">
      <w:pPr>
        <w:pStyle w:val="3"/>
        <w:bidi w:val="0"/>
      </w:pPr>
      <w:r>
        <w:rPr>
          <w:rFonts w:hint="eastAsia"/>
          <w:lang w:val="en-US" w:eastAsia="zh-CN"/>
        </w:rPr>
        <w:t>注册及登录</w:t>
      </w:r>
    </w:p>
    <w:p w14:paraId="6486AF3D">
      <w:pPr>
        <w:pStyle w:val="4"/>
        <w:bidi w:val="0"/>
        <w:rPr>
          <w:rFonts w:hint="eastAsia"/>
          <w:lang w:val="en-US" w:eastAsia="zh-CN"/>
        </w:rPr>
      </w:pPr>
      <w:r>
        <w:rPr>
          <w:rStyle w:val="27"/>
          <w:rFonts w:hint="eastAsia"/>
          <w:b/>
          <w:bCs/>
          <w:lang w:val="en-US" w:eastAsia="zh-CN"/>
        </w:rPr>
        <w:t>公告发布媒介</w:t>
      </w:r>
    </w:p>
    <w:p w14:paraId="4B0AC58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供应商在中山大学附属第一医院广西医院官网（以下简称广西医院门户：https://zsyygxyy.org.cn/）查看到采购项目公告后，针对采购采购系统进行在线采购项目，需要到采购系统（http://222.216.96.232:9527/gys/#/loginAdmin）完成注册并且维护企业基本信息后，登录采购系统在线报名等项目业务操作，同时公告也同步发布在采购系统通知公告栏目。</w:t>
      </w:r>
    </w:p>
    <w:p w14:paraId="3342CD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备注：具体项目请按照项目公告详细情况进行。由于采购系统后续不断优化完善，后续涉及版本迭代，可能出现功能升级或者菜单优化，如出现手册截图和系统不一致的地方，以系统实际展示功能菜单为准，本手册只是作为操作参考。</w:t>
      </w:r>
      <w:r>
        <w:rPr>
          <w:rFonts w:hint="eastAsia"/>
          <w:lang w:val="en-US" w:eastAsia="zh-CN"/>
        </w:rPr>
        <w:br w:type="textWrapping"/>
      </w:r>
    </w:p>
    <w:p w14:paraId="7762DF9A">
      <w:pPr>
        <w:pStyle w:val="4"/>
        <w:bidi w:val="0"/>
        <w:rPr>
          <w:rFonts w:hint="default" w:ascii="宋体" w:hAnsi="宋体" w:cs="宋体" w:eastAsiaTheme="minorEastAsia"/>
          <w:b w:val="0"/>
          <w:bCs w:val="0"/>
          <w:szCs w:val="32"/>
          <w:lang w:val="en-US" w:eastAsia="zh-CN"/>
        </w:rPr>
      </w:pPr>
      <w:r>
        <w:rPr>
          <w:rStyle w:val="27"/>
          <w:rFonts w:hint="eastAsia"/>
          <w:b/>
          <w:bCs/>
          <w:lang w:val="en-US" w:eastAsia="zh-CN"/>
        </w:rPr>
        <w:t>供应商注册</w:t>
      </w:r>
      <w:r>
        <w:rPr>
          <w:rFonts w:hint="eastAsia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t>供应商需在采购系统完成注册，及时完善企业项目信息，完成注册后，系统预计在三十分左右同步基本信息到交易系统，建议十五至三十分钟与后跳转至交易系统进行报名等相关业务操作。请合理安排时间，即使完成注册，以免影响报名时间。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t>（1）供应商互联网访问采购系统地址入口（常用）：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instrText xml:space="preserve"> HYPERLINK "http://222.216.96.232:9527/gys/#/loginAdmin" </w:instrText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t>http://222.216.96.232:9527/gys/#/loginAdmin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fldChar w:fldCharType="end"/>
      </w:r>
      <w:r>
        <w:drawing>
          <wp:inline distT="0" distB="0" distL="114300" distR="114300">
            <wp:extent cx="3397885" cy="3679825"/>
            <wp:effectExtent l="0" t="0" r="2540" b="6350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    点击注册后，进入系统注册页面，按照系统提示完成注册，请牢记注册的账号和密码。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3515" cy="2897505"/>
            <wp:effectExtent l="0" t="0" r="3810" b="7620"/>
            <wp:docPr id="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6690" cy="2875280"/>
            <wp:effectExtent l="0" t="0" r="635" b="1270"/>
            <wp:docPr id="7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0EF594F5">
      <w:pPr>
        <w:pStyle w:val="4"/>
        <w:bidi w:val="0"/>
        <w:rPr>
          <w:rStyle w:val="26"/>
          <w:rFonts w:hint="eastAsia" w:ascii="Times New Roman" w:hAnsi="Times New Roman" w:eastAsia="宋体" w:cs="Times New Roman"/>
          <w:b/>
          <w:bCs/>
          <w:lang w:val="en-US" w:eastAsia="zh-CN" w:bidi="ar-SA"/>
        </w:rPr>
      </w:pPr>
      <w:r>
        <w:rPr>
          <w:rStyle w:val="26"/>
          <w:rFonts w:hint="eastAsia" w:ascii="Times New Roman" w:hAnsi="Times New Roman" w:eastAsia="宋体" w:cs="Times New Roman"/>
          <w:b/>
          <w:bCs/>
          <w:lang w:val="en-US" w:eastAsia="zh-CN" w:bidi="ar-SA"/>
        </w:rPr>
        <w:t>用户登录</w:t>
      </w:r>
    </w:p>
    <w:p w14:paraId="141C0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完成注册后，请通过账号和密码登录采购系统，并且完善企业的基本信息。</w:t>
      </w:r>
    </w:p>
    <w:p w14:paraId="2967D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（1）供应商互联网访问采购系统地址入口（常用）：</w:t>
      </w:r>
    </w:p>
    <w:p w14:paraId="193D0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http://222.216.96.232:9527/gys/#/loginAdmin</w:t>
      </w:r>
    </w:p>
    <w:p w14:paraId="1AA5FCB6">
      <w:r>
        <w:drawing>
          <wp:inline distT="0" distB="0" distL="114300" distR="114300">
            <wp:extent cx="5268595" cy="5361305"/>
            <wp:effectExtent l="0" t="0" r="8255" b="1270"/>
            <wp:docPr id="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36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C03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登录页面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drawing>
          <wp:inline distT="0" distB="0" distL="114300" distR="114300">
            <wp:extent cx="5264785" cy="1154430"/>
            <wp:effectExtent l="0" t="0" r="2540" b="7620"/>
            <wp:docPr id="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修改基本信息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4785" cy="3044190"/>
            <wp:effectExtent l="0" t="0" r="2540" b="3810"/>
            <wp:docPr id="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完善供应商基本信息</w:t>
      </w:r>
    </w:p>
    <w:p w14:paraId="5AC0B331">
      <w:pPr>
        <w:pStyle w:val="4"/>
        <w:bidi w:val="0"/>
        <w:rPr>
          <w:rStyle w:val="26"/>
          <w:rFonts w:hint="eastAsia" w:ascii="Times New Roman" w:hAnsi="Times New Roman" w:eastAsia="宋体" w:cs="Times New Roman"/>
          <w:b/>
          <w:bCs/>
          <w:lang w:val="en-US" w:eastAsia="zh-CN" w:bidi="ar-SA"/>
        </w:rPr>
      </w:pPr>
      <w:r>
        <w:rPr>
          <w:rStyle w:val="26"/>
          <w:rFonts w:hint="eastAsia" w:ascii="Times New Roman" w:hAnsi="Times New Roman" w:eastAsia="宋体" w:cs="Times New Roman"/>
          <w:b/>
          <w:bCs/>
          <w:lang w:val="en-US" w:eastAsia="zh-CN" w:bidi="ar-SA"/>
        </w:rPr>
        <w:t>进入登陆首页</w:t>
      </w:r>
    </w:p>
    <w:p w14:paraId="418CEA64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登录后，默认进入供应商的工作台页面。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62880" cy="2313305"/>
            <wp:effectExtent l="0" t="0" r="4445" b="1270"/>
            <wp:docPr id="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DBA8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工作台</w:t>
      </w:r>
    </w:p>
    <w:p w14:paraId="62C1B876">
      <w:pPr>
        <w:pStyle w:val="4"/>
        <w:bidi w:val="0"/>
        <w:rPr>
          <w:rStyle w:val="26"/>
          <w:rFonts w:hint="eastAsia" w:ascii="Times New Roman" w:hAnsi="Times New Roman" w:eastAsia="宋体" w:cs="Times New Roman"/>
          <w:b/>
          <w:bCs/>
          <w:lang w:val="en-US" w:eastAsia="zh-CN" w:bidi="ar-SA"/>
        </w:rPr>
      </w:pPr>
      <w:r>
        <w:rPr>
          <w:rStyle w:val="26"/>
          <w:rFonts w:hint="eastAsia" w:ascii="Times New Roman" w:hAnsi="Times New Roman" w:eastAsia="宋体" w:cs="Times New Roman"/>
          <w:b/>
          <w:bCs/>
          <w:lang w:val="en-US" w:eastAsia="zh-CN" w:bidi="ar-SA"/>
        </w:rPr>
        <w:t>跳转院内电子交易系统</w:t>
      </w:r>
    </w:p>
    <w:p w14:paraId="60787B84">
      <w:pPr>
        <w:ind w:firstLine="42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登陆后，如果需要参与项目交易系统项目报名时，点击左侧的【院内电子交易】，然后跳转至</w:t>
      </w:r>
      <w:bookmarkStart w:id="7" w:name="_GoBack"/>
      <w:r>
        <w:rPr>
          <w:rFonts w:hint="eastAsia"/>
          <w:sz w:val="24"/>
          <w:szCs w:val="24"/>
          <w:lang w:val="en-US" w:eastAsia="zh-CN"/>
        </w:rPr>
        <w:t>院内电子交易系统</w:t>
      </w:r>
      <w:bookmarkEnd w:id="7"/>
      <w:r>
        <w:rPr>
          <w:rFonts w:hint="eastAsia"/>
          <w:sz w:val="24"/>
          <w:szCs w:val="24"/>
          <w:lang w:val="en-US"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drawing>
          <wp:inline distT="0" distB="0" distL="114300" distR="114300">
            <wp:extent cx="5255260" cy="2054860"/>
            <wp:effectExtent l="0" t="0" r="2540" b="2540"/>
            <wp:docPr id="8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>登录</w:t>
      </w:r>
      <w:r>
        <w:rPr>
          <w:sz w:val="24"/>
          <w:szCs w:val="24"/>
        </w:rPr>
        <w:t>后</w:t>
      </w:r>
      <w:r>
        <w:rPr>
          <w:rFonts w:hint="eastAsia"/>
          <w:sz w:val="24"/>
          <w:szCs w:val="24"/>
          <w:lang w:val="en-US" w:eastAsia="zh-CN"/>
        </w:rPr>
        <w:t>交易系统</w:t>
      </w:r>
      <w:r>
        <w:rPr>
          <w:rFonts w:hint="eastAsia"/>
          <w:sz w:val="24"/>
          <w:szCs w:val="24"/>
        </w:rPr>
        <w:t>工作台由</w:t>
      </w:r>
      <w:r>
        <w:rPr>
          <w:rFonts w:hint="eastAsia"/>
          <w:sz w:val="24"/>
          <w:szCs w:val="24"/>
          <w:lang w:val="en-US" w:eastAsia="zh-CN"/>
        </w:rPr>
        <w:t>项目管理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  <w:lang w:val="en-US" w:eastAsia="zh-CN"/>
        </w:rPr>
        <w:t>我的日历、待办事项和通知消息</w:t>
      </w:r>
      <w:r>
        <w:rPr>
          <w:rFonts w:hint="eastAsia"/>
          <w:sz w:val="24"/>
          <w:szCs w:val="24"/>
        </w:rPr>
        <w:t>组成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eastAsia="zh-CN"/>
        </w:rPr>
        <w:br w:type="textWrapping"/>
      </w:r>
      <w:r>
        <w:drawing>
          <wp:inline distT="0" distB="0" distL="114300" distR="114300">
            <wp:extent cx="5268595" cy="1801495"/>
            <wp:effectExtent l="0" t="0" r="8255" b="8255"/>
            <wp:docPr id="8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1ACE9">
      <w:pPr>
        <w:rPr>
          <w:rFonts w:hint="eastAsia"/>
          <w:lang w:val="en-US" w:eastAsia="zh-CN"/>
        </w:rPr>
      </w:pPr>
    </w:p>
    <w:p w14:paraId="6894FC6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工作台</w:t>
      </w:r>
    </w:p>
    <w:p w14:paraId="0DCCA34F">
      <w:pPr>
        <w:pStyle w:val="25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功能</w:t>
      </w:r>
      <w:r>
        <w:rPr>
          <w:sz w:val="28"/>
          <w:szCs w:val="28"/>
        </w:rPr>
        <w:t>模块</w:t>
      </w:r>
    </w:p>
    <w:p w14:paraId="23910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1、项目管理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203D2E6C"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（1）邀请我的：展示邀请本供应商的采购项目数量，点击跳转到【邀请我的】页面。</w:t>
      </w:r>
    </w:p>
    <w:p w14:paraId="7659490F">
      <w:r>
        <w:drawing>
          <wp:inline distT="0" distB="0" distL="114300" distR="114300">
            <wp:extent cx="5263515" cy="1316990"/>
            <wp:effectExtent l="0" t="0" r="3810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6A5D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邀请我的</w:t>
      </w:r>
    </w:p>
    <w:p w14:paraId="5DA29581">
      <w:pPr>
        <w:pStyle w:val="25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待响应/报价项目：展示当前用户已报名待报价的采购项目数量，点击跳转到【采购项目列表】页面，且展示“进行中”tab页。</w:t>
      </w:r>
    </w:p>
    <w:p w14:paraId="3456CA91"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5268595" cy="1466850"/>
            <wp:effectExtent l="0" t="0" r="8255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7F9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采购项目列表</w:t>
      </w:r>
    </w:p>
    <w:p w14:paraId="7027401A">
      <w:pPr>
        <w:pStyle w:val="25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待开标：展示当前用户已报名待开标的采购项目数量，点击跳转到【采购项目列表】页面，且展示“进行中”tab页。</w:t>
      </w:r>
    </w:p>
    <w:p w14:paraId="067B2921">
      <w:pPr>
        <w:pStyle w:val="2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5263515" cy="1430020"/>
            <wp:effectExtent l="0" t="0" r="3810" b="825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4AE8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采购项目列表</w:t>
      </w:r>
    </w:p>
    <w:p w14:paraId="261CB28D">
      <w:pPr>
        <w:pStyle w:val="25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查看成交结果：展示一个月内的成交通知的数量，点击跳转【通知公告】页面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3C66A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2、待办事项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/>
          <w:i w:val="0"/>
          <w:iCs/>
          <w:color w:val="000000"/>
          <w:sz w:val="28"/>
          <w:szCs w:val="28"/>
          <w:lang w:val="en-US" w:eastAsia="zh-CN"/>
        </w:rPr>
        <w:t>包含采购项目流程扭转信息，点击进入对应的项目操作页。</w:t>
      </w:r>
    </w:p>
    <w:p w14:paraId="075D7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3、通知消息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/>
          <w:i w:val="0"/>
          <w:iCs/>
          <w:color w:val="000000"/>
          <w:sz w:val="28"/>
          <w:szCs w:val="28"/>
          <w:lang w:val="en-US" w:eastAsia="zh-CN"/>
        </w:rPr>
        <w:t>展示未读的系统消息通知，点击进入消息详情页面。</w:t>
      </w:r>
    </w:p>
    <w:p w14:paraId="137D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4、日历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/>
          <w:i w:val="0"/>
          <w:iCs/>
          <w:color w:val="000000"/>
          <w:sz w:val="28"/>
          <w:szCs w:val="28"/>
          <w:lang w:val="en-US" w:eastAsia="zh-CN"/>
        </w:rPr>
        <w:t>日历展示系统当前月，并在对应日期下展示，采购人在对应日期未响应、已响应、未开标、已开标项目且未完结的项目数量，点击对应日期，则在日历右边展示对应日期的项目列表。默认日历默认定义在系统当前日期，右边项目列表则默认展示当前日期的项目列表信息。</w:t>
      </w:r>
    </w:p>
    <w:p w14:paraId="097B57FC">
      <w:pPr>
        <w:pStyle w:val="3"/>
        <w:numPr>
          <w:ilvl w:val="0"/>
          <w:numId w:val="5"/>
        </w:numPr>
        <w:bidi w:val="0"/>
        <w:ind w:left="432" w:leftChars="0" w:hanging="432" w:firstLineChars="0"/>
        <w:rPr>
          <w:rFonts w:hint="eastAsia"/>
          <w:lang w:val="en-US" w:eastAsia="zh-CN"/>
        </w:rPr>
      </w:pPr>
      <w:bookmarkStart w:id="1" w:name="_Toc1918"/>
      <w:r>
        <w:rPr>
          <w:rFonts w:hint="eastAsia"/>
          <w:lang w:val="en-US" w:eastAsia="zh-CN"/>
        </w:rPr>
        <w:t>邀请我的</w:t>
      </w:r>
      <w:bookmarkEnd w:id="1"/>
    </w:p>
    <w:p w14:paraId="18FFC0A5">
      <w:r>
        <w:drawing>
          <wp:inline distT="0" distB="0" distL="114300" distR="114300">
            <wp:extent cx="1516380" cy="640080"/>
            <wp:effectExtent l="0" t="0" r="762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E6B4F">
      <w:pPr>
        <w:pStyle w:val="4"/>
        <w:numPr>
          <w:ilvl w:val="1"/>
          <w:numId w:val="5"/>
        </w:numPr>
        <w:bidi w:val="0"/>
        <w:ind w:left="576" w:leftChars="0" w:hanging="576" w:firstLineChars="0"/>
        <w:rPr>
          <w:rFonts w:hint="eastAsia"/>
          <w:lang w:val="en-US" w:eastAsia="zh-CN"/>
        </w:rPr>
      </w:pPr>
      <w:bookmarkStart w:id="2" w:name="_Toc9707"/>
      <w:r>
        <w:rPr>
          <w:rFonts w:hint="eastAsia"/>
          <w:lang w:val="en-US" w:eastAsia="zh-CN"/>
        </w:rPr>
        <w:t>邀请我的</w:t>
      </w:r>
      <w:bookmarkEnd w:id="2"/>
    </w:p>
    <w:p w14:paraId="4A8B2818"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i w:val="0"/>
          <w:iCs/>
          <w:color w:val="000000"/>
          <w:sz w:val="28"/>
          <w:szCs w:val="28"/>
          <w:highlight w:val="none"/>
          <w:lang w:val="en-US" w:eastAsia="zh-CN"/>
        </w:rPr>
        <w:t>采购员发布的采购项目（供应商征集方式为邀请），将展示在被邀请的供应商的【邀请我的】功能模块中，供应商可在【邀请我的】功能模块中查看所有邀请本供应商的采购项目，并且可对采购项目进行接受邀请和拒绝邀请操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149DE45F">
      <w:r>
        <w:drawing>
          <wp:inline distT="0" distB="0" distL="114300" distR="114300">
            <wp:extent cx="5251450" cy="1027430"/>
            <wp:effectExtent l="0" t="0" r="6350" b="1270"/>
            <wp:docPr id="28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0D2C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邀请我的</w:t>
      </w:r>
    </w:p>
    <w:p w14:paraId="265644B0"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邀请我的列表包括报名项目、详情功能。</w:t>
      </w:r>
    </w:p>
    <w:p w14:paraId="7F3582C0">
      <w:pPr>
        <w:pStyle w:val="4"/>
        <w:numPr>
          <w:ilvl w:val="1"/>
          <w:numId w:val="5"/>
        </w:numPr>
        <w:bidi w:val="0"/>
      </w:pPr>
      <w:r>
        <w:rPr>
          <w:rFonts w:hint="eastAsia" w:asciiTheme="majorHAnsi" w:hAnsiTheme="majorHAnsi" w:eastAsiaTheme="majorEastAsia" w:cstheme="majorBidi"/>
          <w:b/>
          <w:bCs/>
          <w:kern w:val="2"/>
          <w:sz w:val="28"/>
          <w:szCs w:val="32"/>
          <w:lang w:val="en-US" w:eastAsia="zh-CN" w:bidi="ar-SA"/>
        </w:rPr>
        <w:t>报名审核材料提交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48910" cy="1119505"/>
            <wp:effectExtent l="0" t="0" r="8890" b="4445"/>
            <wp:docPr id="289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54625" cy="3061335"/>
            <wp:effectExtent l="0" t="0" r="3175" b="5715"/>
            <wp:docPr id="29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8ADCC">
      <w:pPr>
        <w:pStyle w:val="4"/>
        <w:numPr>
          <w:ilvl w:val="1"/>
          <w:numId w:val="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报名项目</w:t>
      </w:r>
    </w:p>
    <w:p w14:paraId="2124E4EA">
      <w:pPr>
        <w:bidi w:val="0"/>
      </w:pPr>
      <w:r>
        <w:drawing>
          <wp:inline distT="0" distB="0" distL="114300" distR="114300">
            <wp:extent cx="5268595" cy="1250315"/>
            <wp:effectExtent l="0" t="0" r="8255" b="698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3F5F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邀请我的</w:t>
      </w:r>
    </w:p>
    <w:p w14:paraId="5FE21096">
      <w:pPr>
        <w:pStyle w:val="2"/>
        <w:rPr>
          <w:rFonts w:hint="eastAsia"/>
          <w:lang w:val="en-US" w:eastAsia="zh-CN"/>
        </w:rPr>
      </w:pPr>
    </w:p>
    <w:p w14:paraId="088C8F66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3086100"/>
            <wp:effectExtent l="0" t="0" r="5715" b="0"/>
            <wp:docPr id="29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5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8B2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邀请确认页面</w:t>
      </w:r>
    </w:p>
    <w:p w14:paraId="7CD35181">
      <w:r>
        <w:drawing>
          <wp:inline distT="0" distB="0" distL="114300" distR="114300">
            <wp:extent cx="5268595" cy="2449830"/>
            <wp:effectExtent l="0" t="0" r="1905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4D96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报名回执页面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drawing>
          <wp:inline distT="0" distB="0" distL="114300" distR="114300">
            <wp:extent cx="5266690" cy="2893060"/>
            <wp:effectExtent l="0" t="0" r="635" b="2540"/>
            <wp:docPr id="293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5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提交响应文件</w:t>
      </w:r>
    </w:p>
    <w:p w14:paraId="4ADEC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报名项目</w:t>
      </w:r>
      <w:r>
        <w:rPr>
          <w:rFonts w:hint="eastAsia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跳转到邀请确认页面</w:t>
      </w:r>
    </w:p>
    <w:p w14:paraId="5311D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1、接受邀请：邀请确认页面可查看到项目信息、邀请函基本信息，选择需报名的标包，填写报名信息，点击</w:t>
      </w:r>
      <w:r>
        <w:rPr>
          <w:rStyle w:val="21"/>
          <w:rFonts w:hint="eastAsia"/>
          <w:sz w:val="28"/>
          <w:szCs w:val="28"/>
          <w:lang w:val="en-US" w:eastAsia="zh-CN"/>
        </w:rPr>
        <w:t>接受邀请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，生成报名回执，点击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已知悉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报名成功，跳转到项目详情页。</w:t>
      </w:r>
    </w:p>
    <w:p w14:paraId="0ADD432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拒绝邀请：如果供应商不参与此项目，可直接勾选拒绝的标包，点击拒绝邀请拒绝成功。</w:t>
      </w:r>
    </w:p>
    <w:p w14:paraId="28C0B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详情</w:t>
      </w:r>
      <w:r>
        <w:rPr>
          <w:rFonts w:hint="eastAsia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跳转到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采购项目详情</w:t>
      </w:r>
      <w:r>
        <w:rPr>
          <w:rFonts w:ascii="宋体" w:hAnsi="宋体" w:eastAsia="宋体" w:cs="宋体"/>
          <w:sz w:val="28"/>
          <w:szCs w:val="28"/>
          <w:u w:val="none"/>
        </w:rPr>
        <w:t>页面</w:t>
      </w:r>
    </w:p>
    <w:p w14:paraId="276B4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规则说明：</w:t>
      </w:r>
    </w:p>
    <w:p w14:paraId="34A914F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邀请的项目报名信息中自动带出供应商的联系人信息，包括联系人姓名、联系人手机号、联系人邮箱。</w:t>
      </w:r>
    </w:p>
    <w:p w14:paraId="55B64636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邀请截止时间内，展示【报名项目】操作；邀请时间截止后，展示【详情】操作。</w:t>
      </w:r>
    </w:p>
    <w:p w14:paraId="5A8AD058">
      <w:pPr>
        <w:pStyle w:val="3"/>
        <w:numPr>
          <w:ilvl w:val="0"/>
          <w:numId w:val="5"/>
        </w:numPr>
        <w:bidi w:val="0"/>
        <w:ind w:left="432" w:leftChars="0" w:hanging="432" w:firstLineChars="0"/>
      </w:pPr>
      <w:r>
        <w:rPr>
          <w:rFonts w:hint="eastAsia"/>
          <w:lang w:val="en-US" w:eastAsia="zh-CN"/>
        </w:rPr>
        <w:t>查看通知公告</w:t>
      </w:r>
    </w:p>
    <w:p w14:paraId="080B62D4">
      <w:r>
        <w:drawing>
          <wp:inline distT="0" distB="0" distL="114300" distR="114300">
            <wp:extent cx="3143250" cy="1832610"/>
            <wp:effectExtent l="0" t="0" r="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rcRect b="585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8B0D2">
      <w:pPr>
        <w:pStyle w:val="4"/>
        <w:numPr>
          <w:ilvl w:val="1"/>
          <w:numId w:val="5"/>
        </w:numPr>
        <w:bidi w:val="0"/>
        <w:ind w:left="575" w:leftChars="0" w:hanging="575" w:firstLineChars="0"/>
        <w:rPr>
          <w:rFonts w:hint="eastAsia"/>
        </w:rPr>
      </w:pPr>
      <w:r>
        <w:rPr>
          <w:rFonts w:hint="eastAsia"/>
          <w:lang w:val="en-US" w:eastAsia="zh-CN"/>
        </w:rPr>
        <w:t>查询项目公告</w:t>
      </w:r>
    </w:p>
    <w:p w14:paraId="4A2CE8CA"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展示采购项目公告信息（医院门户公告信息参考1.1节点指引）。</w:t>
      </w:r>
    </w:p>
    <w:p w14:paraId="3C29E889">
      <w:r>
        <w:drawing>
          <wp:inline distT="0" distB="0" distL="114300" distR="114300">
            <wp:extent cx="5268595" cy="1522095"/>
            <wp:effectExtent l="0" t="0" r="8255" b="190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AEDB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项目公告信息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</w:p>
    <w:p w14:paraId="7AB0BD9B">
      <w:pPr>
        <w:pStyle w:val="5"/>
        <w:numPr>
          <w:ilvl w:val="2"/>
          <w:numId w:val="5"/>
        </w:numPr>
        <w:bidi w:val="0"/>
        <w:ind w:left="720" w:leftChars="0" w:hanging="720" w:firstLineChars="0"/>
        <w:jc w:val="left"/>
        <w:rPr>
          <w:rFonts w:hint="eastAsia"/>
        </w:rPr>
      </w:pPr>
      <w:r>
        <w:rPr>
          <w:rFonts w:hint="eastAsia"/>
          <w:lang w:val="en-US" w:eastAsia="zh-CN"/>
        </w:rPr>
        <w:t>查看公告详情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6690" cy="1275080"/>
            <wp:effectExtent l="0" t="0" r="635" b="127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7325" cy="2771140"/>
            <wp:effectExtent l="0" t="0" r="0" b="635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4591">
      <w:pPr>
        <w:pStyle w:val="5"/>
        <w:numPr>
          <w:ilvl w:val="2"/>
          <w:numId w:val="5"/>
        </w:numPr>
        <w:bidi w:val="0"/>
        <w:ind w:left="720" w:leftChars="0" w:hanging="720" w:firstLineChars="0"/>
        <w:rPr>
          <w:rFonts w:hint="eastAsia"/>
        </w:rPr>
      </w:pPr>
      <w:r>
        <w:rPr>
          <w:rFonts w:hint="eastAsia"/>
          <w:lang w:val="en-US" w:eastAsia="zh-CN"/>
        </w:rPr>
        <w:t>上次报名审核材料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55260" cy="1404620"/>
            <wp:effectExtent l="0" t="0" r="2540" b="5080"/>
            <wp:docPr id="3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按照要求填写报名审核材料，然后提交。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3675" cy="2749550"/>
            <wp:effectExtent l="0" t="0" r="3175" b="3175"/>
            <wp:docPr id="6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1601">
      <w:pPr>
        <w:pStyle w:val="5"/>
        <w:numPr>
          <w:ilvl w:val="2"/>
          <w:numId w:val="5"/>
        </w:numPr>
        <w:bidi w:val="0"/>
        <w:ind w:left="720" w:leftChars="0" w:hanging="720" w:firstLineChars="0"/>
        <w:rPr>
          <w:rFonts w:hint="eastAsia"/>
        </w:rPr>
      </w:pPr>
      <w:r>
        <w:rPr>
          <w:rFonts w:hint="eastAsia"/>
          <w:lang w:val="en-US" w:eastAsia="zh-CN"/>
        </w:rPr>
        <w:t>审核材料通过后提交报名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当提交审批材料后，需要重点关注通知消息和公告内容，以免错误后续提交报名等操作。点击办理，完成报名提交。</w:t>
      </w:r>
    </w:p>
    <w:p w14:paraId="455785D2"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55895" cy="1440815"/>
            <wp:effectExtent l="0" t="0" r="1905" b="6985"/>
            <wp:docPr id="8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同时，可以通过通知公告栏目进入，点击【查看报名】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72405" cy="1261110"/>
            <wp:effectExtent l="0" t="0" r="4445" b="5715"/>
            <wp:docPr id="8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52085" cy="2783205"/>
            <wp:effectExtent l="0" t="0" r="5715" b="7620"/>
            <wp:docPr id="8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57800" cy="2863850"/>
            <wp:effectExtent l="0" t="0" r="0" b="3175"/>
            <wp:docPr id="9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73675" cy="2905125"/>
            <wp:effectExtent l="0" t="0" r="3175" b="0"/>
            <wp:docPr id="9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F3DCA">
      <w:pPr>
        <w:pStyle w:val="3"/>
        <w:numPr>
          <w:ilvl w:val="0"/>
          <w:numId w:val="5"/>
        </w:numPr>
        <w:bidi w:val="0"/>
        <w:ind w:left="432" w:leftChars="0" w:hanging="432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院内磋商（以院内磋商采购方式为例说明）</w:t>
      </w:r>
    </w:p>
    <w:p w14:paraId="1E9EB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进入大厅</w:t>
      </w:r>
      <w:r>
        <w:rPr>
          <w:rFonts w:hint="eastAsia"/>
          <w:sz w:val="28"/>
          <w:szCs w:val="28"/>
          <w:lang w:val="en-US" w:eastAsia="zh-CN"/>
        </w:rPr>
        <w:t>，跳转到供应商大厅页面，供应商可进行采购文件领取、报价响应、查看澄清文件等操作。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48910" cy="1349375"/>
            <wp:effectExtent l="0" t="0" r="8890" b="3175"/>
            <wp:docPr id="10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2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br w:type="textWrapping"/>
      </w:r>
    </w:p>
    <w:p w14:paraId="6C04546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供应商大厅</w:t>
      </w:r>
    </w:p>
    <w:p w14:paraId="29175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供应商大厅中包含项目详情、功能操作、标包信息三部分；项目详情中可查看各时间节点</w:t>
      </w:r>
      <w:r>
        <w:rPr>
          <w:rFonts w:hint="eastAsia"/>
          <w:lang w:val="en-US" w:eastAsia="zh-CN"/>
        </w:rPr>
        <w:t>。</w:t>
      </w:r>
    </w:p>
    <w:p w14:paraId="14F51DB0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采购文件领取</w:t>
      </w:r>
    </w:p>
    <w:p w14:paraId="3A600EBB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60975" cy="2341880"/>
            <wp:effectExtent l="0" t="0" r="6350" b="1270"/>
            <wp:docPr id="11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8AA3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7041EFE5">
      <w:pPr>
        <w:jc w:val="center"/>
      </w:pPr>
      <w:r>
        <w:drawing>
          <wp:inline distT="0" distB="0" distL="114300" distR="114300">
            <wp:extent cx="5273675" cy="1864995"/>
            <wp:effectExtent l="0" t="0" r="3175" b="1905"/>
            <wp:docPr id="13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2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5441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下载采购文件</w:t>
      </w:r>
    </w:p>
    <w:p w14:paraId="7F3CF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采购文</w:t>
      </w:r>
      <w:r>
        <w:rPr>
          <w:rStyle w:val="21"/>
          <w:rFonts w:hint="eastAsia"/>
          <w:sz w:val="28"/>
          <w:szCs w:val="28"/>
          <w:lang w:val="en-US" w:eastAsia="zh-CN"/>
        </w:rPr>
        <w:t>件领取</w:t>
      </w:r>
      <w:r>
        <w:rPr>
          <w:rFonts w:hint="eastAsia"/>
          <w:sz w:val="28"/>
          <w:szCs w:val="28"/>
          <w:lang w:val="en-US" w:eastAsia="zh-CN"/>
        </w:rPr>
        <w:t>，弹出附件列表弹出框，展示采购人员上传的采购文件，支持单条下载和批量下载</w:t>
      </w:r>
    </w:p>
    <w:p w14:paraId="1EAAA5E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单条下载：直接点击文件名称，可将文件下载到本地；</w:t>
      </w:r>
    </w:p>
    <w:p w14:paraId="61E1E148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批量下载：勾选需下载的文件，点击</w:t>
      </w:r>
      <w:r>
        <w:rPr>
          <w:rStyle w:val="21"/>
          <w:rFonts w:hint="eastAsia"/>
          <w:sz w:val="28"/>
          <w:szCs w:val="28"/>
          <w:lang w:val="en-US" w:eastAsia="zh-CN"/>
        </w:rPr>
        <w:t>批量下载</w:t>
      </w:r>
      <w:r>
        <w:rPr>
          <w:rFonts w:hint="eastAsia"/>
          <w:sz w:val="28"/>
          <w:szCs w:val="28"/>
          <w:lang w:val="en-US" w:eastAsia="zh-CN"/>
        </w:rPr>
        <w:t>，可将所选的文件下载到本地。</w:t>
      </w:r>
    </w:p>
    <w:p w14:paraId="0F06EF0C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递交响应文件</w:t>
      </w:r>
    </w:p>
    <w:p w14:paraId="37587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递交资审文件</w:t>
      </w:r>
      <w:r>
        <w:rPr>
          <w:rFonts w:hint="eastAsia"/>
          <w:sz w:val="28"/>
          <w:szCs w:val="28"/>
          <w:lang w:val="en-US" w:eastAsia="zh-CN"/>
        </w:rPr>
        <w:t>，弹出电子证书类型选择文件，选择证书类型，点击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，弹出递交投标文件页面</w:t>
      </w:r>
    </w:p>
    <w:p w14:paraId="55AE43F3">
      <w:r>
        <w:drawing>
          <wp:inline distT="0" distB="0" distL="114300" distR="114300">
            <wp:extent cx="5268595" cy="2139950"/>
            <wp:effectExtent l="0" t="0" r="8255" b="3175"/>
            <wp:docPr id="1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F943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5AC017A5">
      <w:pPr>
        <w:jc w:val="center"/>
      </w:pPr>
      <w:r>
        <w:drawing>
          <wp:inline distT="0" distB="0" distL="114300" distR="114300">
            <wp:extent cx="5248910" cy="2923540"/>
            <wp:effectExtent l="0" t="0" r="8890" b="635"/>
            <wp:docPr id="17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546B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递交响应文件页面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</w:p>
    <w:p w14:paraId="4693B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60" w:hanging="560" w:hanging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1、设置加密密码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设置密码，一定要牢记设置的密码，在后续开标环节需要输入设置的密码才能进行解密，如开标环节由于个人原因忘记密码导致无法解密废标情况，自行承担后果。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63515" cy="1785620"/>
            <wp:effectExtent l="0" t="0" r="0" b="0"/>
            <wp:docPr id="17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25"/>
                    <pic:cNvPicPr>
                      <a:picLocks noChangeAspect="1"/>
                    </pic:cNvPicPr>
                  </pic:nvPicPr>
                  <pic:blipFill>
                    <a:blip r:embed="rId45"/>
                    <a:srcRect b="3700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上传做好的响应文件的PDF文件：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4785" cy="1684020"/>
            <wp:effectExtent l="0" t="0" r="2540" b="1905"/>
            <wp:docPr id="18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2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2、标注响应点</w:t>
      </w:r>
    </w:p>
    <w:p w14:paraId="1B710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根据设置的评审规则进行评审点标注，选中评审点，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点击标记开始位置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标记结束位置</w:t>
      </w:r>
      <w:r>
        <w:rPr>
          <w:rFonts w:hint="eastAsia"/>
          <w:sz w:val="28"/>
          <w:szCs w:val="28"/>
          <w:lang w:val="en-US" w:eastAsia="zh-CN"/>
        </w:rPr>
        <w:t>，全部标记完成后，点击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下一步</w:t>
      </w:r>
      <w:r>
        <w:rPr>
          <w:rFonts w:hint="eastAsia"/>
          <w:sz w:val="28"/>
          <w:szCs w:val="28"/>
          <w:lang w:val="en-US"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注意：目前未采用线上电子签章，响应文件PDF需要盖章的位置一定要线下完成盖章后才上传至系统，如由于自身原因遗漏盖章等导致废标，后果需自身承担。</w:t>
      </w:r>
    </w:p>
    <w:p w14:paraId="4AF32E87">
      <w:r>
        <w:drawing>
          <wp:inline distT="0" distB="0" distL="114300" distR="114300">
            <wp:extent cx="5255895" cy="2867660"/>
            <wp:effectExtent l="0" t="0" r="1905" b="8890"/>
            <wp:docPr id="18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2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A68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递交响应文件页面-标注响应点（综合评分法）</w:t>
      </w:r>
    </w:p>
    <w:p w14:paraId="2F564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3、递交报价</w:t>
      </w:r>
    </w:p>
    <w:p w14:paraId="7115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填写报价信息，点击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，生成报价一览表点击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已知悉</w:t>
      </w:r>
      <w:r>
        <w:rPr>
          <w:rFonts w:hint="eastAsia"/>
          <w:sz w:val="28"/>
          <w:szCs w:val="28"/>
          <w:lang w:val="en-US" w:eastAsia="zh-CN"/>
        </w:rPr>
        <w:t>报价完成；点击上一步，流转到上一环节。</w:t>
      </w:r>
    </w:p>
    <w:p w14:paraId="4C407402">
      <w:r>
        <w:drawing>
          <wp:inline distT="0" distB="0" distL="114300" distR="114300">
            <wp:extent cx="5260975" cy="2867660"/>
            <wp:effectExtent l="0" t="0" r="6350" b="8890"/>
            <wp:docPr id="18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2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6A0E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递交响应文件页面-递交报价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需要对自身提交的报价情况负责，请认真核对好内容后再提交。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br w:type="textWrapping"/>
      </w:r>
      <w:r>
        <w:drawing>
          <wp:inline distT="0" distB="0" distL="114300" distR="114300">
            <wp:extent cx="5248910" cy="2874645"/>
            <wp:effectExtent l="0" t="0" r="8890" b="1905"/>
            <wp:docPr id="18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2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二次确认报价内容</w:t>
      </w:r>
    </w:p>
    <w:p w14:paraId="544305E9">
      <w:r>
        <w:drawing>
          <wp:inline distT="0" distB="0" distL="114300" distR="114300">
            <wp:extent cx="5255260" cy="2782570"/>
            <wp:effectExtent l="0" t="0" r="2540" b="8255"/>
            <wp:docPr id="18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3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1133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报价一览表</w:t>
      </w:r>
    </w:p>
    <w:p w14:paraId="2AB620F3">
      <w:r>
        <w:drawing>
          <wp:inline distT="0" distB="0" distL="114300" distR="114300">
            <wp:extent cx="5265420" cy="1708785"/>
            <wp:effectExtent l="0" t="0" r="1905" b="5715"/>
            <wp:docPr id="18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3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3515" cy="1949450"/>
            <wp:effectExtent l="0" t="0" r="3810" b="3175"/>
            <wp:docPr id="18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3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FA63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查看递交响应文件</w:t>
      </w:r>
    </w:p>
    <w:p w14:paraId="5066353A">
      <w:r>
        <w:drawing>
          <wp:inline distT="0" distB="0" distL="114300" distR="114300">
            <wp:extent cx="5267325" cy="1517015"/>
            <wp:effectExtent l="0" t="0" r="3175" b="6985"/>
            <wp:docPr id="1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FA99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撤回原因</w:t>
      </w:r>
    </w:p>
    <w:p w14:paraId="5B0FE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6、撤回响应文件</w:t>
      </w:r>
    </w:p>
    <w:p w14:paraId="3E07B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递交响应文件完成后，响应文件递交截至之前，供应商可撤回响应文件，点击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撤回响应文件</w:t>
      </w:r>
      <w:r>
        <w:rPr>
          <w:rFonts w:hint="eastAsia"/>
          <w:sz w:val="28"/>
          <w:szCs w:val="28"/>
          <w:lang w:val="en-US" w:eastAsia="zh-CN"/>
        </w:rPr>
        <w:t>，弹出撤回原因输入页面，输入撤回原因，点击确定；点击取消，关闭撤回原因输入页面。</w:t>
      </w:r>
    </w:p>
    <w:p w14:paraId="0FEE71B5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查看撤回记录</w:t>
      </w:r>
    </w:p>
    <w:p w14:paraId="183C2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针对已撤回的响应文件，支持查看撤回记录。</w:t>
      </w:r>
    </w:p>
    <w:p w14:paraId="57A833F0">
      <w:r>
        <w:drawing>
          <wp:inline distT="0" distB="0" distL="114300" distR="114300">
            <wp:extent cx="5274310" cy="1258570"/>
            <wp:effectExtent l="0" t="0" r="2540" b="8255"/>
            <wp:docPr id="18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3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F3285">
      <w:pPr>
        <w:pStyle w:val="2"/>
        <w:ind w:left="0" w:leftChars="0" w:firstLine="0" w:firstLineChars="0"/>
        <w:jc w:val="both"/>
      </w:pPr>
    </w:p>
    <w:p w14:paraId="62BAB01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撤回记录</w:t>
      </w:r>
    </w:p>
    <w:p w14:paraId="1A0F4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查看撤回记录</w:t>
      </w:r>
      <w:r>
        <w:rPr>
          <w:rFonts w:hint="eastAsia"/>
          <w:sz w:val="28"/>
          <w:szCs w:val="28"/>
          <w:lang w:val="en-US" w:eastAsia="zh-CN"/>
        </w:rPr>
        <w:t>，弹出撤回记录页面</w:t>
      </w:r>
    </w:p>
    <w:p w14:paraId="07132D5F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取消：点击取消，关闭查看撤回记录页面。</w:t>
      </w:r>
    </w:p>
    <w:p w14:paraId="45985D24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开标大厅</w:t>
      </w:r>
    </w:p>
    <w:p w14:paraId="3FD0D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规则配置中，开标方式为“供应商开标输入密码”，需进入开标大厅由供应商手动进行解密开标。（请按照项目实际要求，如果需要供应商到现场参与开标和商谈的，需要到现场参与开标的解密和后续的商谈报价）</w:t>
      </w:r>
    </w:p>
    <w:p w14:paraId="284E01D6">
      <w:r>
        <w:drawing>
          <wp:inline distT="0" distB="0" distL="114300" distR="114300">
            <wp:extent cx="5262880" cy="1932940"/>
            <wp:effectExtent l="0" t="0" r="4445" b="635"/>
            <wp:docPr id="19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3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713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4BFB2C84">
      <w:pPr>
        <w:pStyle w:val="2"/>
        <w:ind w:left="0" w:leftChars="0" w:firstLine="0" w:firstLineChars="0"/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6690" cy="2893060"/>
            <wp:effectExtent l="0" t="0" r="635" b="2540"/>
            <wp:docPr id="19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3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869C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开标大厅</w:t>
      </w:r>
    </w:p>
    <w:p w14:paraId="531A8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开标大厅</w:t>
      </w:r>
      <w:r>
        <w:rPr>
          <w:rFonts w:hint="eastAsia"/>
          <w:sz w:val="28"/>
          <w:szCs w:val="28"/>
          <w:lang w:val="en-US" w:eastAsia="zh-CN"/>
        </w:rPr>
        <w:t>，跳转到开标大厅页面</w:t>
      </w:r>
    </w:p>
    <w:p w14:paraId="293FCCA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供应商签到：默认进入开标大厅则签到完成。</w:t>
      </w:r>
    </w:p>
    <w:p w14:paraId="719E89ED">
      <w:pPr>
        <w:pStyle w:val="2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0180" cy="2452370"/>
            <wp:effectExtent l="0" t="0" r="7620" b="5080"/>
            <wp:docPr id="19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3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F561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签到</w:t>
      </w:r>
    </w:p>
    <w:p w14:paraId="7ED8A050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进入开标：如果采购人员点击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开始开标</w:t>
      </w:r>
      <w:r>
        <w:rPr>
          <w:rFonts w:hint="eastAsia"/>
          <w:sz w:val="28"/>
          <w:szCs w:val="28"/>
          <w:lang w:val="en-US" w:eastAsia="zh-CN"/>
        </w:rPr>
        <w:t>，并且设置了解密时间时长后，供应商可进入响应文件解密环节。</w:t>
      </w:r>
    </w:p>
    <w:p w14:paraId="5DBB8635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68595" cy="2691765"/>
            <wp:effectExtent l="0" t="0" r="8255" b="3810"/>
            <wp:docPr id="19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3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957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进入开标</w:t>
      </w:r>
    </w:p>
    <w:p w14:paraId="1B020321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50180" cy="2606675"/>
            <wp:effectExtent l="0" t="0" r="7620" b="3175"/>
            <wp:docPr id="19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3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D949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响应文件解密</w:t>
      </w:r>
    </w:p>
    <w:p w14:paraId="74DE06A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解密：选择需解密的标包，点击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解密</w:t>
      </w:r>
      <w:r>
        <w:rPr>
          <w:rFonts w:hint="eastAsia"/>
          <w:sz w:val="28"/>
          <w:szCs w:val="28"/>
          <w:lang w:val="en-US" w:eastAsia="zh-CN"/>
        </w:rPr>
        <w:t>，弹出密码输入页面，输入密码，点击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，如果输入的密码和响应文件递交时填写的密码一致，则解密成功；</w:t>
      </w:r>
    </w:p>
    <w:p w14:paraId="31F81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57800" cy="2384425"/>
            <wp:effectExtent l="0" t="0" r="0" b="6350"/>
            <wp:docPr id="19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3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DF48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解密成功</w:t>
      </w:r>
    </w:p>
    <w:p w14:paraId="7F40C3A7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签名：采购人如设置签名时限后，进入签名环节，供应商点击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签名</w:t>
      </w:r>
      <w:r>
        <w:rPr>
          <w:rFonts w:hint="eastAsia"/>
          <w:sz w:val="28"/>
          <w:szCs w:val="28"/>
          <w:lang w:val="en-US" w:eastAsia="zh-CN"/>
        </w:rPr>
        <w:t>按钮，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签名成功，如果还未开启电子签名，则需要供应商在现场根据采购人打印出的签名表，进行线下手动签名</w:t>
      </w:r>
      <w:r>
        <w:rPr>
          <w:rFonts w:hint="eastAsia"/>
          <w:sz w:val="28"/>
          <w:szCs w:val="28"/>
          <w:lang w:val="en-US" w:eastAsia="zh-CN"/>
        </w:rPr>
        <w:t>；</w:t>
      </w:r>
    </w:p>
    <w:p w14:paraId="7738BB71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退出：点击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退出</w:t>
      </w:r>
      <w:r>
        <w:rPr>
          <w:rFonts w:hint="eastAsia"/>
          <w:sz w:val="28"/>
          <w:szCs w:val="28"/>
          <w:lang w:val="en-US" w:eastAsia="zh-CN"/>
        </w:rPr>
        <w:t>，返回到项目大厅页面。</w:t>
      </w:r>
    </w:p>
    <w:p w14:paraId="5FFF0614">
      <w:pPr>
        <w:pStyle w:val="4"/>
        <w:numPr>
          <w:ilvl w:val="1"/>
          <w:numId w:val="5"/>
        </w:numPr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澄清答复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如果项目涉及到澄清，采购人或者专家发起澄清后，供应商可以在线进行澄清答复。</w:t>
      </w:r>
    </w:p>
    <w:p w14:paraId="60C8E87A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64785" cy="1327150"/>
            <wp:effectExtent l="0" t="0" r="2540" b="6350"/>
            <wp:docPr id="19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4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59D5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55DC7165">
      <w:pPr>
        <w:jc w:val="center"/>
      </w:pPr>
      <w:r>
        <w:drawing>
          <wp:inline distT="0" distB="0" distL="114300" distR="114300">
            <wp:extent cx="5266055" cy="1644650"/>
            <wp:effectExtent l="0" t="0" r="1270" b="3175"/>
            <wp:docPr id="197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4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1DBD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供应商澄清信息</w:t>
      </w:r>
    </w:p>
    <w:p w14:paraId="5B0E3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澄清答复</w:t>
      </w:r>
      <w:r>
        <w:rPr>
          <w:rFonts w:hint="eastAsia"/>
          <w:sz w:val="28"/>
          <w:szCs w:val="28"/>
          <w:lang w:val="en-US" w:eastAsia="zh-CN"/>
        </w:rPr>
        <w:t>，跳转到供应商澄清信息页面</w:t>
      </w:r>
    </w:p>
    <w:p w14:paraId="3A0F97DF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回复：点击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回复</w:t>
      </w:r>
      <w:r>
        <w:rPr>
          <w:rFonts w:hint="eastAsia"/>
          <w:sz w:val="28"/>
          <w:szCs w:val="28"/>
          <w:lang w:val="en-US" w:eastAsia="zh-CN"/>
        </w:rPr>
        <w:t>，跳转到澄清答复页面，填写澄清内容，点击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，供应商澄清完成，点击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返回</w:t>
      </w:r>
      <w:r>
        <w:rPr>
          <w:rFonts w:hint="eastAsia"/>
          <w:sz w:val="28"/>
          <w:szCs w:val="28"/>
          <w:lang w:val="en-US" w:eastAsia="zh-CN"/>
        </w:rPr>
        <w:t>，返回到供应商澄清信息页面；</w:t>
      </w:r>
    </w:p>
    <w:p w14:paraId="39FBDF03">
      <w:pPr>
        <w:pStyle w:val="4"/>
        <w:numPr>
          <w:ilvl w:val="1"/>
          <w:numId w:val="5"/>
        </w:numPr>
        <w:bidi w:val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商谈和二次报价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专家发起商谈后，供应商可进入开标大厅中，找到【商谈应答】，进入响应。</w:t>
      </w:r>
      <w:r>
        <w:drawing>
          <wp:inline distT="0" distB="0" distL="114300" distR="114300">
            <wp:extent cx="5267960" cy="2120900"/>
            <wp:effectExtent l="0" t="0" r="8890" b="3175"/>
            <wp:docPr id="20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4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73040" cy="821690"/>
            <wp:effectExtent l="0" t="0" r="3810" b="6985"/>
            <wp:docPr id="21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4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3009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专家发起二次报价（根据项目实际情况可发起多轮报价，以实际项目情况为准）</w:t>
      </w:r>
    </w:p>
    <w:p w14:paraId="11EF7E25">
      <w:pPr>
        <w:pStyle w:val="2"/>
        <w:ind w:left="0" w:leftChars="0" w:firstLine="0" w:firstLineChars="0"/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57800" cy="2063750"/>
            <wp:effectExtent l="0" t="0" r="0" b="3175"/>
            <wp:docPr id="21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4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0975" cy="2871470"/>
            <wp:effectExtent l="0" t="0" r="6350" b="5080"/>
            <wp:docPr id="21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4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4785" cy="2886075"/>
            <wp:effectExtent l="0" t="0" r="2540" b="0"/>
            <wp:docPr id="216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4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7BB5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谈判报价页面</w:t>
      </w:r>
    </w:p>
    <w:p w14:paraId="10DC7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专家发起谈判报价，谈判报价开始后，点击</w:t>
      </w:r>
      <w:r>
        <w:rPr>
          <w:rStyle w:val="21"/>
          <w:rFonts w:hint="eastAsia"/>
          <w:sz w:val="28"/>
          <w:szCs w:val="28"/>
          <w:lang w:val="en-US" w:eastAsia="zh-CN"/>
        </w:rPr>
        <w:t>第2谈判（根据项目实际情况可能存在多轮）</w:t>
      </w:r>
      <w:r>
        <w:rPr>
          <w:rFonts w:hint="eastAsia"/>
          <w:sz w:val="28"/>
          <w:szCs w:val="28"/>
          <w:lang w:val="en-US" w:eastAsia="zh-CN"/>
        </w:rPr>
        <w:t>，跳转到谈判报价页面</w:t>
      </w:r>
    </w:p>
    <w:p w14:paraId="36C81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1、提交：填写谈判报价信息，上传相关附件，点击</w:t>
      </w:r>
      <w:r>
        <w:rPr>
          <w:rStyle w:val="21"/>
          <w:rFonts w:hint="eastAsia"/>
          <w:sz w:val="28"/>
          <w:szCs w:val="28"/>
          <w:lang w:val="en-US" w:eastAsia="zh-CN"/>
        </w:rPr>
        <w:t>提交</w:t>
      </w:r>
      <w:r>
        <w:rPr>
          <w:rFonts w:hint="eastAsia"/>
          <w:sz w:val="28"/>
          <w:szCs w:val="28"/>
          <w:lang w:val="en-US" w:eastAsia="zh-CN"/>
        </w:rPr>
        <w:t>按钮谈判报价完成，返回到项目大厅页面。</w:t>
      </w:r>
    </w:p>
    <w:p w14:paraId="25622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2、返回：点击</w:t>
      </w:r>
      <w:r>
        <w:rPr>
          <w:rStyle w:val="21"/>
          <w:rFonts w:hint="eastAsia"/>
          <w:sz w:val="28"/>
          <w:szCs w:val="28"/>
          <w:lang w:val="en-US" w:eastAsia="zh-CN"/>
        </w:rPr>
        <w:t>返回</w:t>
      </w:r>
      <w:r>
        <w:rPr>
          <w:rFonts w:hint="eastAsia"/>
          <w:sz w:val="28"/>
          <w:szCs w:val="28"/>
          <w:lang w:val="en-US" w:eastAsia="zh-CN"/>
        </w:rPr>
        <w:t>，返回到项目大厅页面。</w:t>
      </w:r>
    </w:p>
    <w:p w14:paraId="71D0CA51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成交结果公告</w:t>
      </w:r>
    </w:p>
    <w:p w14:paraId="0EC03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采购人员发布成交结果公告，则参与的供应商在项目大厅中点击</w:t>
      </w:r>
      <w:r>
        <w:rPr>
          <w:rStyle w:val="21"/>
          <w:rFonts w:hint="eastAsia"/>
          <w:sz w:val="28"/>
          <w:szCs w:val="28"/>
          <w:lang w:val="en-US" w:eastAsia="zh-CN"/>
        </w:rPr>
        <w:t>成交结果公告</w:t>
      </w:r>
      <w:r>
        <w:rPr>
          <w:rFonts w:hint="eastAsia"/>
          <w:sz w:val="28"/>
          <w:szCs w:val="28"/>
          <w:lang w:val="en-US" w:eastAsia="zh-CN"/>
        </w:rPr>
        <w:t>，可查看成交结果公告详情。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备注：公告一般也会同步发布到广西医院官方网站门户，请关注公告的相关项目的公告情况。</w:t>
      </w:r>
    </w:p>
    <w:p w14:paraId="1EF50E18">
      <w:r>
        <w:drawing>
          <wp:inline distT="0" distB="0" distL="114300" distR="114300">
            <wp:extent cx="5263515" cy="1715135"/>
            <wp:effectExtent l="0" t="0" r="3810" b="8890"/>
            <wp:docPr id="21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4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E7F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13363C0B">
      <w:pPr>
        <w:pStyle w:val="2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0975" cy="3078480"/>
            <wp:effectExtent l="0" t="0" r="6350" b="7620"/>
            <wp:docPr id="21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4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9230" cy="3087370"/>
            <wp:effectExtent l="0" t="0" r="7620" b="8255"/>
            <wp:docPr id="219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5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D07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成交结果公告</w:t>
      </w:r>
    </w:p>
    <w:p w14:paraId="27E8B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成交结果公告</w:t>
      </w:r>
      <w:r>
        <w:rPr>
          <w:rFonts w:hint="eastAsia"/>
          <w:sz w:val="28"/>
          <w:szCs w:val="28"/>
          <w:lang w:val="en-US" w:eastAsia="zh-CN"/>
        </w:rPr>
        <w:t>，弹出成交结果公告页面</w:t>
      </w:r>
    </w:p>
    <w:p w14:paraId="79785DCF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关闭：点击</w:t>
      </w:r>
      <w:r>
        <w:rPr>
          <w:rStyle w:val="21"/>
          <w:rFonts w:hint="eastAsia"/>
          <w:sz w:val="28"/>
          <w:szCs w:val="28"/>
          <w:lang w:val="en-US" w:eastAsia="zh-CN"/>
        </w:rPr>
        <w:t>关闭</w:t>
      </w:r>
      <w:r>
        <w:rPr>
          <w:rFonts w:hint="eastAsia"/>
          <w:sz w:val="28"/>
          <w:szCs w:val="28"/>
          <w:lang w:val="en-US" w:eastAsia="zh-CN"/>
        </w:rPr>
        <w:t>，关闭成交结果公告页面；</w:t>
      </w:r>
    </w:p>
    <w:p w14:paraId="0F0C97D6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下载：点击</w:t>
      </w:r>
      <w:r>
        <w:rPr>
          <w:rStyle w:val="21"/>
          <w:rFonts w:hint="eastAsia"/>
          <w:sz w:val="28"/>
          <w:szCs w:val="28"/>
          <w:lang w:val="en-US" w:eastAsia="zh-CN"/>
        </w:rPr>
        <w:t>下载</w:t>
      </w:r>
      <w:r>
        <w:rPr>
          <w:rFonts w:hint="eastAsia"/>
          <w:sz w:val="28"/>
          <w:szCs w:val="28"/>
          <w:lang w:val="en-US" w:eastAsia="zh-CN"/>
        </w:rPr>
        <w:t>，支持导出PDF形式的成交结果公告；</w:t>
      </w:r>
    </w:p>
    <w:p w14:paraId="150B6B38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打印：点击</w:t>
      </w:r>
      <w:r>
        <w:rPr>
          <w:rStyle w:val="21"/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  <w:lang w:val="en-US" w:eastAsia="zh-CN"/>
        </w:rPr>
        <w:t>，支持成交结果公告打印。</w:t>
      </w:r>
    </w:p>
    <w:p w14:paraId="64B5CE61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成交通知书</w:t>
      </w:r>
    </w:p>
    <w:p w14:paraId="4E7CF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采购人员发布成交通知书，中选的供应商在项目大厅中点击</w:t>
      </w:r>
      <w:r>
        <w:rPr>
          <w:rStyle w:val="21"/>
          <w:rFonts w:hint="eastAsia"/>
          <w:sz w:val="28"/>
          <w:szCs w:val="28"/>
          <w:lang w:val="en-US" w:eastAsia="zh-CN"/>
        </w:rPr>
        <w:t>成交通知书</w:t>
      </w:r>
      <w:r>
        <w:rPr>
          <w:rFonts w:hint="eastAsia"/>
          <w:sz w:val="28"/>
          <w:szCs w:val="28"/>
          <w:lang w:val="en-US" w:eastAsia="zh-CN"/>
        </w:rPr>
        <w:t>，可查看成交通知书详情。</w:t>
      </w:r>
    </w:p>
    <w:p w14:paraId="7C6C3CDB">
      <w:r>
        <w:drawing>
          <wp:inline distT="0" distB="0" distL="114300" distR="114300">
            <wp:extent cx="5264785" cy="1390015"/>
            <wp:effectExtent l="0" t="0" r="2540" b="635"/>
            <wp:docPr id="285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5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2240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2BBD908F">
      <w:pPr>
        <w:pStyle w:val="2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6690" cy="1508125"/>
            <wp:effectExtent l="0" t="0" r="635" b="6350"/>
            <wp:docPr id="286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5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4150" cy="3080385"/>
            <wp:effectExtent l="0" t="0" r="3175" b="5715"/>
            <wp:docPr id="28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5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15DC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成交通知书</w:t>
      </w:r>
    </w:p>
    <w:p w14:paraId="5A389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成交通知书</w:t>
      </w:r>
      <w:r>
        <w:rPr>
          <w:rFonts w:hint="eastAsia"/>
          <w:sz w:val="28"/>
          <w:szCs w:val="28"/>
          <w:lang w:val="en-US" w:eastAsia="zh-CN"/>
        </w:rPr>
        <w:t>，弹出成交通知书页面</w:t>
      </w:r>
    </w:p>
    <w:p w14:paraId="7899DA1A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关闭：点击</w:t>
      </w:r>
      <w:r>
        <w:rPr>
          <w:rStyle w:val="21"/>
          <w:rFonts w:hint="eastAsia"/>
          <w:sz w:val="28"/>
          <w:szCs w:val="28"/>
          <w:lang w:val="en-US" w:eastAsia="zh-CN"/>
        </w:rPr>
        <w:t>关闭</w:t>
      </w:r>
      <w:r>
        <w:rPr>
          <w:rFonts w:hint="eastAsia"/>
          <w:sz w:val="28"/>
          <w:szCs w:val="28"/>
          <w:lang w:val="en-US" w:eastAsia="zh-CN"/>
        </w:rPr>
        <w:t>，关闭成交通知书页面；</w:t>
      </w:r>
    </w:p>
    <w:p w14:paraId="7268FF32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下载：点击</w:t>
      </w:r>
      <w:r>
        <w:rPr>
          <w:rStyle w:val="21"/>
          <w:rFonts w:hint="eastAsia"/>
          <w:sz w:val="28"/>
          <w:szCs w:val="28"/>
          <w:lang w:val="en-US" w:eastAsia="zh-CN"/>
        </w:rPr>
        <w:t>下载</w:t>
      </w:r>
      <w:r>
        <w:rPr>
          <w:rFonts w:hint="eastAsia"/>
          <w:sz w:val="28"/>
          <w:szCs w:val="28"/>
          <w:lang w:val="en-US" w:eastAsia="zh-CN"/>
        </w:rPr>
        <w:t>，支持导出PDF形式的成交通知书；</w:t>
      </w:r>
    </w:p>
    <w:p w14:paraId="2D76E9ED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打印：点击</w:t>
      </w:r>
      <w:r>
        <w:rPr>
          <w:rStyle w:val="21"/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  <w:lang w:val="en-US" w:eastAsia="zh-CN"/>
        </w:rPr>
        <w:t>，支持成交通知书打印。</w:t>
      </w:r>
    </w:p>
    <w:p w14:paraId="42B62416">
      <w:pPr>
        <w:pStyle w:val="3"/>
        <w:numPr>
          <w:ilvl w:val="0"/>
          <w:numId w:val="5"/>
        </w:numPr>
        <w:bidi w:val="0"/>
        <w:ind w:left="432" w:leftChars="0" w:hanging="432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院内谈判采购（以院内谈判采购方式为例说明）</w:t>
      </w:r>
    </w:p>
    <w:p w14:paraId="4306C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进入大厅</w:t>
      </w:r>
      <w:r>
        <w:rPr>
          <w:rFonts w:hint="eastAsia"/>
          <w:sz w:val="28"/>
          <w:szCs w:val="28"/>
          <w:lang w:val="en-US" w:eastAsia="zh-CN"/>
        </w:rPr>
        <w:t>，跳转到供应商大厅页面，供应商可进行采购文件领取、报价响应、查看澄清文件等操作。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48910" cy="1349375"/>
            <wp:effectExtent l="0" t="0" r="8890" b="3175"/>
            <wp:docPr id="29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2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br w:type="textWrapping"/>
      </w:r>
    </w:p>
    <w:p w14:paraId="706A6E6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供应商大厅</w:t>
      </w:r>
    </w:p>
    <w:p w14:paraId="19DA5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供应商大厅中包含项目详情、功能操作、标包信息三部分；项目详情中可查看各时间节点</w:t>
      </w:r>
      <w:r>
        <w:rPr>
          <w:rFonts w:hint="eastAsia"/>
          <w:lang w:val="en-US" w:eastAsia="zh-CN"/>
        </w:rPr>
        <w:t>。</w:t>
      </w:r>
    </w:p>
    <w:p w14:paraId="2B529B2D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采购文件领取</w:t>
      </w:r>
    </w:p>
    <w:p w14:paraId="16009E4A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60975" cy="2341880"/>
            <wp:effectExtent l="0" t="0" r="6350" b="1270"/>
            <wp:docPr id="29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2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3C0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5408FC5C">
      <w:pPr>
        <w:jc w:val="center"/>
      </w:pPr>
      <w:r>
        <w:drawing>
          <wp:inline distT="0" distB="0" distL="114300" distR="114300">
            <wp:extent cx="5273675" cy="1864995"/>
            <wp:effectExtent l="0" t="0" r="3175" b="1905"/>
            <wp:docPr id="30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2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CC71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下载采购文件</w:t>
      </w:r>
    </w:p>
    <w:p w14:paraId="3DDD0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采购文</w:t>
      </w:r>
      <w:r>
        <w:rPr>
          <w:rStyle w:val="21"/>
          <w:rFonts w:hint="eastAsia"/>
          <w:sz w:val="28"/>
          <w:szCs w:val="28"/>
          <w:lang w:val="en-US" w:eastAsia="zh-CN"/>
        </w:rPr>
        <w:t>件领取</w:t>
      </w:r>
      <w:r>
        <w:rPr>
          <w:rFonts w:hint="eastAsia"/>
          <w:sz w:val="28"/>
          <w:szCs w:val="28"/>
          <w:lang w:val="en-US" w:eastAsia="zh-CN"/>
        </w:rPr>
        <w:t>，弹出附件列表弹出框，展示采购人员上传的采购文件，支持单条下载和批量下载</w:t>
      </w:r>
    </w:p>
    <w:p w14:paraId="52C9604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单条下载：直接点击文件名称，可将文件下载到本地；</w:t>
      </w:r>
    </w:p>
    <w:p w14:paraId="5BBEBC48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批量下载：勾选需下载的文件，点击</w:t>
      </w:r>
      <w:r>
        <w:rPr>
          <w:rStyle w:val="21"/>
          <w:rFonts w:hint="eastAsia"/>
          <w:sz w:val="28"/>
          <w:szCs w:val="28"/>
          <w:lang w:val="en-US" w:eastAsia="zh-CN"/>
        </w:rPr>
        <w:t>批量下载</w:t>
      </w:r>
      <w:r>
        <w:rPr>
          <w:rFonts w:hint="eastAsia"/>
          <w:sz w:val="28"/>
          <w:szCs w:val="28"/>
          <w:lang w:val="en-US" w:eastAsia="zh-CN"/>
        </w:rPr>
        <w:t>，可将所选的文件下载到本地。</w:t>
      </w:r>
    </w:p>
    <w:p w14:paraId="4A54E526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递交响应文件</w:t>
      </w:r>
    </w:p>
    <w:p w14:paraId="49DCA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递交资审文件</w:t>
      </w:r>
      <w:r>
        <w:rPr>
          <w:rFonts w:hint="eastAsia"/>
          <w:sz w:val="28"/>
          <w:szCs w:val="28"/>
          <w:lang w:val="en-US" w:eastAsia="zh-CN"/>
        </w:rPr>
        <w:t>，弹出电子证书类型选择文件，选择证书类型，点击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，弹出递交投标文件页面</w:t>
      </w:r>
    </w:p>
    <w:p w14:paraId="5EBC6483">
      <w:r>
        <w:drawing>
          <wp:inline distT="0" distB="0" distL="114300" distR="114300">
            <wp:extent cx="5268595" cy="2139950"/>
            <wp:effectExtent l="0" t="0" r="8255" b="3175"/>
            <wp:docPr id="30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2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A495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2A8E34A9">
      <w:pPr>
        <w:jc w:val="center"/>
      </w:pPr>
      <w:r>
        <w:drawing>
          <wp:inline distT="0" distB="0" distL="114300" distR="114300">
            <wp:extent cx="5248910" cy="2923540"/>
            <wp:effectExtent l="0" t="0" r="8890" b="635"/>
            <wp:docPr id="30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2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1141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递交响应文件页面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</w:p>
    <w:p w14:paraId="639C0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60" w:hanging="560" w:hanging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1、设置加密密码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设置密码，一定要牢记设置的密码，在后续开标环节需要输入设置的密码才能进行解密，如开标环节由于个人原因忘记密码导致无法解密废标情况，自行承担后果。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63515" cy="1785620"/>
            <wp:effectExtent l="0" t="0" r="3810" b="5080"/>
            <wp:docPr id="30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25"/>
                    <pic:cNvPicPr>
                      <a:picLocks noChangeAspect="1"/>
                    </pic:cNvPicPr>
                  </pic:nvPicPr>
                  <pic:blipFill>
                    <a:blip r:embed="rId45"/>
                    <a:srcRect b="3700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上传做好的响应文件的PDF文件：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4785" cy="1684020"/>
            <wp:effectExtent l="0" t="0" r="2540" b="1905"/>
            <wp:docPr id="30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2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2、标注响应点</w:t>
      </w:r>
    </w:p>
    <w:p w14:paraId="1B9AF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根据设置的评审规则进行评审点标注，选中评审点，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点击标记开始位置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标记结束位置</w:t>
      </w:r>
      <w:r>
        <w:rPr>
          <w:rFonts w:hint="eastAsia"/>
          <w:sz w:val="28"/>
          <w:szCs w:val="28"/>
          <w:lang w:val="en-US" w:eastAsia="zh-CN"/>
        </w:rPr>
        <w:t>，全部标记完成后，点击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下一步</w:t>
      </w:r>
      <w:r>
        <w:rPr>
          <w:rFonts w:hint="eastAsia"/>
          <w:sz w:val="28"/>
          <w:szCs w:val="28"/>
          <w:lang w:val="en-US" w:eastAsia="zh-CN"/>
        </w:rPr>
        <w:t>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注意：目前未采用线上电子签章，响应文件PDF需要盖章的位置一定要线下完成盖章后才上传至系统，如由于自身原因遗漏盖章等导致废标，后果需自身承担。</w:t>
      </w:r>
    </w:p>
    <w:p w14:paraId="627BEB5F">
      <w:r>
        <w:drawing>
          <wp:inline distT="0" distB="0" distL="114300" distR="114300">
            <wp:extent cx="5255895" cy="2867660"/>
            <wp:effectExtent l="0" t="0" r="1905" b="8890"/>
            <wp:docPr id="30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2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6F91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递交响应文件页面-标注响应点（综合评分法）</w:t>
      </w:r>
    </w:p>
    <w:p w14:paraId="4585C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3、递交报价</w:t>
      </w:r>
    </w:p>
    <w:p w14:paraId="2FF77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填写报价信息，点击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，生成报价一览表点击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已知悉</w:t>
      </w:r>
      <w:r>
        <w:rPr>
          <w:rFonts w:hint="eastAsia"/>
          <w:sz w:val="28"/>
          <w:szCs w:val="28"/>
          <w:lang w:val="en-US" w:eastAsia="zh-CN"/>
        </w:rPr>
        <w:t>报价完成；点击上一步，流转到上一环节。</w:t>
      </w:r>
    </w:p>
    <w:p w14:paraId="4048CD00">
      <w:r>
        <w:drawing>
          <wp:inline distT="0" distB="0" distL="114300" distR="114300">
            <wp:extent cx="5260975" cy="2867660"/>
            <wp:effectExtent l="0" t="0" r="6350" b="8890"/>
            <wp:docPr id="30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2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5D3D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递交响应文件页面-递交报价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需要对自身提交的报价情况负责，请认真核对好内容后再提交。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br w:type="textWrapping"/>
      </w:r>
      <w:r>
        <w:drawing>
          <wp:inline distT="0" distB="0" distL="114300" distR="114300">
            <wp:extent cx="5248910" cy="2874645"/>
            <wp:effectExtent l="0" t="0" r="8890" b="1905"/>
            <wp:docPr id="30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2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二次确认报价内容</w:t>
      </w:r>
    </w:p>
    <w:p w14:paraId="03167B65">
      <w:r>
        <w:drawing>
          <wp:inline distT="0" distB="0" distL="114300" distR="114300">
            <wp:extent cx="5255260" cy="2782570"/>
            <wp:effectExtent l="0" t="0" r="2540" b="8255"/>
            <wp:docPr id="31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3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42FF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报价一览表</w:t>
      </w:r>
    </w:p>
    <w:p w14:paraId="234493B6">
      <w:r>
        <w:drawing>
          <wp:inline distT="0" distB="0" distL="114300" distR="114300">
            <wp:extent cx="5265420" cy="1708785"/>
            <wp:effectExtent l="0" t="0" r="1905" b="5715"/>
            <wp:docPr id="31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3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3515" cy="1949450"/>
            <wp:effectExtent l="0" t="0" r="3810" b="3175"/>
            <wp:docPr id="31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3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F7CF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查看递交响应文件</w:t>
      </w:r>
    </w:p>
    <w:p w14:paraId="4E6ABE90">
      <w:r>
        <w:drawing>
          <wp:inline distT="0" distB="0" distL="114300" distR="114300">
            <wp:extent cx="5267325" cy="1517015"/>
            <wp:effectExtent l="0" t="0" r="0" b="6985"/>
            <wp:docPr id="3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DD2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撤回原因</w:t>
      </w:r>
    </w:p>
    <w:p w14:paraId="27D58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6、撤回响应文件</w:t>
      </w:r>
    </w:p>
    <w:p w14:paraId="6830A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递交响应文件完成后，响应文件递交截至之前，供应商可撤回响应文件，点击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撤回响应文件</w:t>
      </w:r>
      <w:r>
        <w:rPr>
          <w:rFonts w:hint="eastAsia"/>
          <w:sz w:val="28"/>
          <w:szCs w:val="28"/>
          <w:lang w:val="en-US" w:eastAsia="zh-CN"/>
        </w:rPr>
        <w:t>，弹出撤回原因输入页面，输入撤回原因，点击确定；点击取消，关闭撤回原因输入页面。</w:t>
      </w:r>
    </w:p>
    <w:p w14:paraId="4319943A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查看撤回记录</w:t>
      </w:r>
    </w:p>
    <w:p w14:paraId="633D1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针对已撤回的响应文件，支持查看撤回记录。</w:t>
      </w:r>
    </w:p>
    <w:p w14:paraId="6FC70A46">
      <w:r>
        <w:drawing>
          <wp:inline distT="0" distB="0" distL="114300" distR="114300">
            <wp:extent cx="5274310" cy="1258570"/>
            <wp:effectExtent l="0" t="0" r="2540" b="8255"/>
            <wp:docPr id="31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3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26B9A">
      <w:pPr>
        <w:pStyle w:val="2"/>
        <w:ind w:left="0" w:leftChars="0" w:firstLine="0" w:firstLineChars="0"/>
        <w:jc w:val="both"/>
      </w:pPr>
    </w:p>
    <w:p w14:paraId="104D12B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撤回记录</w:t>
      </w:r>
    </w:p>
    <w:p w14:paraId="4ED57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查看撤回记录</w:t>
      </w:r>
      <w:r>
        <w:rPr>
          <w:rFonts w:hint="eastAsia"/>
          <w:sz w:val="28"/>
          <w:szCs w:val="28"/>
          <w:lang w:val="en-US" w:eastAsia="zh-CN"/>
        </w:rPr>
        <w:t>，弹出撤回记录页面</w:t>
      </w:r>
    </w:p>
    <w:p w14:paraId="019E00ED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取消：点击取消，关闭查看撤回记录页面。</w:t>
      </w:r>
    </w:p>
    <w:p w14:paraId="1436F658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开标大厅</w:t>
      </w:r>
    </w:p>
    <w:p w14:paraId="37D61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规则配置中，开标方式为“供应商开标输入密码”，需进入开标大厅由供应商手动进行解密开标。（请按照项目实际要求，如果需要供应商到现场参与开标和商谈的，需要到现场参与开标的解密和后续的商谈报价）</w:t>
      </w:r>
    </w:p>
    <w:p w14:paraId="6AA58650">
      <w:r>
        <w:drawing>
          <wp:inline distT="0" distB="0" distL="114300" distR="114300">
            <wp:extent cx="5262880" cy="1932940"/>
            <wp:effectExtent l="0" t="0" r="4445" b="635"/>
            <wp:docPr id="31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3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FF60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42DC4EE8">
      <w:pPr>
        <w:pStyle w:val="2"/>
        <w:ind w:left="0" w:leftChars="0" w:firstLine="0" w:firstLineChars="0"/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6690" cy="2893060"/>
            <wp:effectExtent l="0" t="0" r="635" b="2540"/>
            <wp:docPr id="31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3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E9B0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开标大厅</w:t>
      </w:r>
    </w:p>
    <w:p w14:paraId="26048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开标大厅</w:t>
      </w:r>
      <w:r>
        <w:rPr>
          <w:rFonts w:hint="eastAsia"/>
          <w:sz w:val="28"/>
          <w:szCs w:val="28"/>
          <w:lang w:val="en-US" w:eastAsia="zh-CN"/>
        </w:rPr>
        <w:t>，跳转到开标大厅页面</w:t>
      </w:r>
    </w:p>
    <w:p w14:paraId="7F98EE0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供应商签到：默认进入开标大厅则签到完成。</w:t>
      </w:r>
    </w:p>
    <w:p w14:paraId="600E13D1">
      <w:pPr>
        <w:pStyle w:val="2"/>
        <w:numPr>
          <w:ilvl w:val="0"/>
          <w:numId w:val="0"/>
        </w:numPr>
        <w:jc w:val="both"/>
      </w:pPr>
      <w:r>
        <w:drawing>
          <wp:inline distT="0" distB="0" distL="114300" distR="114300">
            <wp:extent cx="5250180" cy="2452370"/>
            <wp:effectExtent l="0" t="0" r="7620" b="5080"/>
            <wp:docPr id="31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3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0D9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签到</w:t>
      </w:r>
    </w:p>
    <w:p w14:paraId="4720C7CF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进入开标：如果采购人员点击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开始开标</w:t>
      </w:r>
      <w:r>
        <w:rPr>
          <w:rFonts w:hint="eastAsia"/>
          <w:sz w:val="28"/>
          <w:szCs w:val="28"/>
          <w:lang w:val="en-US" w:eastAsia="zh-CN"/>
        </w:rPr>
        <w:t>，并且设置了解密时间时长后，供应商可进入响应文件解密环节。</w:t>
      </w:r>
    </w:p>
    <w:p w14:paraId="46829BF3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68595" cy="2691765"/>
            <wp:effectExtent l="0" t="0" r="8255" b="3810"/>
            <wp:docPr id="31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3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841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进入开标</w:t>
      </w:r>
    </w:p>
    <w:p w14:paraId="52EC5DD4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50180" cy="2606675"/>
            <wp:effectExtent l="0" t="0" r="7620" b="3175"/>
            <wp:docPr id="31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92F3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响应文件解密</w:t>
      </w:r>
    </w:p>
    <w:p w14:paraId="0BF3655A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解密：选择需解密的标包，点击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解密</w:t>
      </w:r>
      <w:r>
        <w:rPr>
          <w:rFonts w:hint="eastAsia"/>
          <w:sz w:val="28"/>
          <w:szCs w:val="28"/>
          <w:lang w:val="en-US" w:eastAsia="zh-CN"/>
        </w:rPr>
        <w:t>，弹出密码输入页面，输入密码，点击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，如果输入的密码和响应文件递交时填写的密码一致，则解密成功；</w:t>
      </w:r>
    </w:p>
    <w:p w14:paraId="2411F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drawing>
          <wp:inline distT="0" distB="0" distL="114300" distR="114300">
            <wp:extent cx="5257800" cy="2384425"/>
            <wp:effectExtent l="0" t="0" r="0" b="6350"/>
            <wp:docPr id="320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C5F0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解密成功</w:t>
      </w:r>
    </w:p>
    <w:p w14:paraId="2CEB4C4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签名：采购人如设置签名时限后，进入签名环节，供应商点击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签名</w:t>
      </w:r>
      <w:r>
        <w:rPr>
          <w:rFonts w:hint="eastAsia"/>
          <w:sz w:val="28"/>
          <w:szCs w:val="28"/>
          <w:lang w:val="en-US" w:eastAsia="zh-CN"/>
        </w:rPr>
        <w:t>按钮，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签名成功，如果还未开启电子签名，则需要供应商在现场根据采购人打印出的签名表，进行线下手动签名</w:t>
      </w:r>
      <w:r>
        <w:rPr>
          <w:rFonts w:hint="eastAsia"/>
          <w:sz w:val="28"/>
          <w:szCs w:val="28"/>
          <w:lang w:val="en-US" w:eastAsia="zh-CN"/>
        </w:rPr>
        <w:t>；</w:t>
      </w:r>
    </w:p>
    <w:p w14:paraId="7EDB9758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退出：点击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退出</w:t>
      </w:r>
      <w:r>
        <w:rPr>
          <w:rFonts w:hint="eastAsia"/>
          <w:sz w:val="28"/>
          <w:szCs w:val="28"/>
          <w:lang w:val="en-US" w:eastAsia="zh-CN"/>
        </w:rPr>
        <w:t>，返回到项目大厅页面。</w:t>
      </w:r>
    </w:p>
    <w:p w14:paraId="5CD877F5">
      <w:pPr>
        <w:pStyle w:val="4"/>
        <w:numPr>
          <w:ilvl w:val="1"/>
          <w:numId w:val="5"/>
        </w:numPr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澄清答复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如果项目涉及到澄清，采购人或者专家发起澄清后，供应商可以在线进行澄清答复。</w:t>
      </w:r>
    </w:p>
    <w:p w14:paraId="0B0CD3BC">
      <w:pPr>
        <w:pStyle w:val="2"/>
        <w:ind w:left="0" w:leftChars="0" w:firstLine="0" w:firstLineChars="0"/>
        <w:jc w:val="both"/>
      </w:pPr>
      <w:r>
        <w:drawing>
          <wp:inline distT="0" distB="0" distL="114300" distR="114300">
            <wp:extent cx="5264785" cy="1327150"/>
            <wp:effectExtent l="0" t="0" r="2540" b="6350"/>
            <wp:docPr id="32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4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E483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4C15CF62">
      <w:pPr>
        <w:jc w:val="center"/>
      </w:pPr>
      <w:r>
        <w:drawing>
          <wp:inline distT="0" distB="0" distL="114300" distR="114300">
            <wp:extent cx="5266055" cy="1644650"/>
            <wp:effectExtent l="0" t="0" r="1270" b="3175"/>
            <wp:docPr id="32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4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7296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供应商澄清信息</w:t>
      </w:r>
    </w:p>
    <w:p w14:paraId="27DDF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澄清答复</w:t>
      </w:r>
      <w:r>
        <w:rPr>
          <w:rFonts w:hint="eastAsia"/>
          <w:sz w:val="28"/>
          <w:szCs w:val="28"/>
          <w:lang w:val="en-US" w:eastAsia="zh-CN"/>
        </w:rPr>
        <w:t>，跳转到供应商澄清信息页面</w:t>
      </w:r>
    </w:p>
    <w:p w14:paraId="3BFB612C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回复：点击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回复</w:t>
      </w:r>
      <w:r>
        <w:rPr>
          <w:rFonts w:hint="eastAsia"/>
          <w:sz w:val="28"/>
          <w:szCs w:val="28"/>
          <w:lang w:val="en-US" w:eastAsia="zh-CN"/>
        </w:rPr>
        <w:t>，跳转到澄清答复页面，填写澄清内容，点击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确定</w:t>
      </w:r>
      <w:r>
        <w:rPr>
          <w:rFonts w:hint="eastAsia"/>
          <w:sz w:val="28"/>
          <w:szCs w:val="28"/>
          <w:lang w:val="en-US" w:eastAsia="zh-CN"/>
        </w:rPr>
        <w:t>，供应商澄清完成，点击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返回</w:t>
      </w:r>
      <w:r>
        <w:rPr>
          <w:rFonts w:hint="eastAsia"/>
          <w:sz w:val="28"/>
          <w:szCs w:val="28"/>
          <w:lang w:val="en-US" w:eastAsia="zh-CN"/>
        </w:rPr>
        <w:t>，返回到供应商澄清信息页面；</w:t>
      </w:r>
    </w:p>
    <w:p w14:paraId="35F9EAA9">
      <w:pPr>
        <w:pStyle w:val="4"/>
        <w:numPr>
          <w:ilvl w:val="1"/>
          <w:numId w:val="5"/>
        </w:numPr>
        <w:bidi w:val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商谈和二次报价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专家发起商谈后，供应商可进入开标大厅中，找到【商谈应答】，进入响应。</w:t>
      </w:r>
      <w:r>
        <w:drawing>
          <wp:inline distT="0" distB="0" distL="114300" distR="114300">
            <wp:extent cx="5267960" cy="2120900"/>
            <wp:effectExtent l="0" t="0" r="8890" b="3175"/>
            <wp:docPr id="323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4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73040" cy="821690"/>
            <wp:effectExtent l="0" t="0" r="3810" b="6985"/>
            <wp:docPr id="324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4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0F1C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专家发起二次报价（根据项目实际情况可发起多轮报价，以实际项目情况为准）</w:t>
      </w:r>
    </w:p>
    <w:p w14:paraId="0F1183FB">
      <w:pPr>
        <w:pStyle w:val="2"/>
        <w:ind w:left="0" w:leftChars="0" w:firstLine="0" w:firstLineChars="0"/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57800" cy="2063750"/>
            <wp:effectExtent l="0" t="0" r="0" b="3175"/>
            <wp:docPr id="32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4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0975" cy="2871470"/>
            <wp:effectExtent l="0" t="0" r="6350" b="5080"/>
            <wp:docPr id="32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4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4785" cy="2886075"/>
            <wp:effectExtent l="0" t="0" r="2540" b="0"/>
            <wp:docPr id="32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4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383E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谈判报价页面</w:t>
      </w:r>
    </w:p>
    <w:p w14:paraId="495C2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专家发起谈判报价，谈判报价开始后，点击</w:t>
      </w:r>
      <w:r>
        <w:rPr>
          <w:rStyle w:val="21"/>
          <w:rFonts w:hint="eastAsia"/>
          <w:sz w:val="28"/>
          <w:szCs w:val="28"/>
          <w:lang w:val="en-US" w:eastAsia="zh-CN"/>
        </w:rPr>
        <w:t>第2谈判（根据项目实际情况可能存在多轮）</w:t>
      </w:r>
      <w:r>
        <w:rPr>
          <w:rFonts w:hint="eastAsia"/>
          <w:sz w:val="28"/>
          <w:szCs w:val="28"/>
          <w:lang w:val="en-US" w:eastAsia="zh-CN"/>
        </w:rPr>
        <w:t>，跳转到谈判报价页面</w:t>
      </w:r>
    </w:p>
    <w:p w14:paraId="70421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1、提交：填写谈判报价信息，上传相关附件，点击</w:t>
      </w:r>
      <w:r>
        <w:rPr>
          <w:rStyle w:val="21"/>
          <w:rFonts w:hint="eastAsia"/>
          <w:sz w:val="28"/>
          <w:szCs w:val="28"/>
          <w:lang w:val="en-US" w:eastAsia="zh-CN"/>
        </w:rPr>
        <w:t>提交</w:t>
      </w:r>
      <w:r>
        <w:rPr>
          <w:rFonts w:hint="eastAsia"/>
          <w:sz w:val="28"/>
          <w:szCs w:val="28"/>
          <w:lang w:val="en-US" w:eastAsia="zh-CN"/>
        </w:rPr>
        <w:t>按钮谈判报价完成，返回到项目大厅页面。</w:t>
      </w:r>
    </w:p>
    <w:p w14:paraId="383C7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2、返回：点击</w:t>
      </w:r>
      <w:r>
        <w:rPr>
          <w:rStyle w:val="21"/>
          <w:rFonts w:hint="eastAsia"/>
          <w:sz w:val="28"/>
          <w:szCs w:val="28"/>
          <w:lang w:val="en-US" w:eastAsia="zh-CN"/>
        </w:rPr>
        <w:t>返回</w:t>
      </w:r>
      <w:r>
        <w:rPr>
          <w:rFonts w:hint="eastAsia"/>
          <w:sz w:val="28"/>
          <w:szCs w:val="28"/>
          <w:lang w:val="en-US" w:eastAsia="zh-CN"/>
        </w:rPr>
        <w:t>，返回到项目大厅页面。</w:t>
      </w:r>
    </w:p>
    <w:p w14:paraId="0C986C99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成交结果公告</w:t>
      </w:r>
    </w:p>
    <w:p w14:paraId="3CDA9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采购人员发布成交结果公告，则参与的供应商在项目大厅中点击</w:t>
      </w:r>
      <w:r>
        <w:rPr>
          <w:rStyle w:val="21"/>
          <w:rFonts w:hint="eastAsia"/>
          <w:sz w:val="28"/>
          <w:szCs w:val="28"/>
          <w:lang w:val="en-US" w:eastAsia="zh-CN"/>
        </w:rPr>
        <w:t>成交结果公告</w:t>
      </w:r>
      <w:r>
        <w:rPr>
          <w:rFonts w:hint="eastAsia"/>
          <w:sz w:val="28"/>
          <w:szCs w:val="28"/>
          <w:lang w:val="en-US" w:eastAsia="zh-CN"/>
        </w:rPr>
        <w:t>，可查看成交结果公告详情。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备注：公告一般也会同步发布到广西医院官方网站门户，请关注公告的相关项目的公告情况。</w:t>
      </w:r>
    </w:p>
    <w:p w14:paraId="4B7A35B0">
      <w:r>
        <w:drawing>
          <wp:inline distT="0" distB="0" distL="114300" distR="114300">
            <wp:extent cx="5263515" cy="1715135"/>
            <wp:effectExtent l="0" t="0" r="3810" b="8890"/>
            <wp:docPr id="32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4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DE4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7FF923AC">
      <w:pPr>
        <w:pStyle w:val="2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0975" cy="3078480"/>
            <wp:effectExtent l="0" t="0" r="6350" b="7620"/>
            <wp:docPr id="32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4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9230" cy="3087370"/>
            <wp:effectExtent l="0" t="0" r="7620" b="8255"/>
            <wp:docPr id="33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5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9161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成交结果公告</w:t>
      </w:r>
    </w:p>
    <w:p w14:paraId="22BF2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成交结果公告</w:t>
      </w:r>
      <w:r>
        <w:rPr>
          <w:rFonts w:hint="eastAsia"/>
          <w:sz w:val="28"/>
          <w:szCs w:val="28"/>
          <w:lang w:val="en-US" w:eastAsia="zh-CN"/>
        </w:rPr>
        <w:t>，弹出成交结果公告页面</w:t>
      </w:r>
    </w:p>
    <w:p w14:paraId="4D6FA0C5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关闭：点击</w:t>
      </w:r>
      <w:r>
        <w:rPr>
          <w:rStyle w:val="21"/>
          <w:rFonts w:hint="eastAsia"/>
          <w:sz w:val="28"/>
          <w:szCs w:val="28"/>
          <w:lang w:val="en-US" w:eastAsia="zh-CN"/>
        </w:rPr>
        <w:t>关闭</w:t>
      </w:r>
      <w:r>
        <w:rPr>
          <w:rFonts w:hint="eastAsia"/>
          <w:sz w:val="28"/>
          <w:szCs w:val="28"/>
          <w:lang w:val="en-US" w:eastAsia="zh-CN"/>
        </w:rPr>
        <w:t>，关闭成交结果公告页面；</w:t>
      </w:r>
    </w:p>
    <w:p w14:paraId="2B5594B1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下载：点击</w:t>
      </w:r>
      <w:r>
        <w:rPr>
          <w:rStyle w:val="21"/>
          <w:rFonts w:hint="eastAsia"/>
          <w:sz w:val="28"/>
          <w:szCs w:val="28"/>
          <w:lang w:val="en-US" w:eastAsia="zh-CN"/>
        </w:rPr>
        <w:t>下载</w:t>
      </w:r>
      <w:r>
        <w:rPr>
          <w:rFonts w:hint="eastAsia"/>
          <w:sz w:val="28"/>
          <w:szCs w:val="28"/>
          <w:lang w:val="en-US" w:eastAsia="zh-CN"/>
        </w:rPr>
        <w:t>，支持导出PDF形式的成交结果公告；</w:t>
      </w:r>
    </w:p>
    <w:p w14:paraId="78319EE0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打印：点击</w:t>
      </w:r>
      <w:r>
        <w:rPr>
          <w:rStyle w:val="21"/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  <w:lang w:val="en-US" w:eastAsia="zh-CN"/>
        </w:rPr>
        <w:t>，支持成交结果公告打印。</w:t>
      </w:r>
    </w:p>
    <w:p w14:paraId="46A309F8">
      <w:pPr>
        <w:pStyle w:val="4"/>
        <w:numPr>
          <w:ilvl w:val="1"/>
          <w:numId w:val="5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成交通知书</w:t>
      </w:r>
    </w:p>
    <w:p w14:paraId="3F90D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采购人员发布成交通知书，中选的供应商在项目大厅中点击</w:t>
      </w:r>
      <w:r>
        <w:rPr>
          <w:rStyle w:val="21"/>
          <w:rFonts w:hint="eastAsia"/>
          <w:sz w:val="28"/>
          <w:szCs w:val="28"/>
          <w:lang w:val="en-US" w:eastAsia="zh-CN"/>
        </w:rPr>
        <w:t>成交通知书</w:t>
      </w:r>
      <w:r>
        <w:rPr>
          <w:rFonts w:hint="eastAsia"/>
          <w:sz w:val="28"/>
          <w:szCs w:val="28"/>
          <w:lang w:val="en-US" w:eastAsia="zh-CN"/>
        </w:rPr>
        <w:t>，可查看成交通知书详情。</w:t>
      </w:r>
    </w:p>
    <w:p w14:paraId="1C65BEEB">
      <w:r>
        <w:drawing>
          <wp:inline distT="0" distB="0" distL="114300" distR="114300">
            <wp:extent cx="5264785" cy="1390015"/>
            <wp:effectExtent l="0" t="0" r="2540" b="635"/>
            <wp:docPr id="33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5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02DF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项目大厅</w:t>
      </w:r>
    </w:p>
    <w:p w14:paraId="5832C672">
      <w:pPr>
        <w:pStyle w:val="2"/>
        <w:ind w:left="0" w:leftChars="0" w:firstLine="0" w:firstLineChars="0"/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6690" cy="1508125"/>
            <wp:effectExtent l="0" t="0" r="635" b="6350"/>
            <wp:docPr id="33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5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4150" cy="3080385"/>
            <wp:effectExtent l="0" t="0" r="3175" b="5715"/>
            <wp:docPr id="33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5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F8B0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成交通知书</w:t>
      </w:r>
    </w:p>
    <w:p w14:paraId="1D98A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成交通知书</w:t>
      </w:r>
      <w:r>
        <w:rPr>
          <w:rFonts w:hint="eastAsia"/>
          <w:sz w:val="28"/>
          <w:szCs w:val="28"/>
          <w:lang w:val="en-US" w:eastAsia="zh-CN"/>
        </w:rPr>
        <w:t>，弹出成交通知书页面</w:t>
      </w:r>
    </w:p>
    <w:p w14:paraId="25EF138F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关闭：点击</w:t>
      </w:r>
      <w:r>
        <w:rPr>
          <w:rStyle w:val="21"/>
          <w:rFonts w:hint="eastAsia"/>
          <w:sz w:val="28"/>
          <w:szCs w:val="28"/>
          <w:lang w:val="en-US" w:eastAsia="zh-CN"/>
        </w:rPr>
        <w:t>关闭</w:t>
      </w:r>
      <w:r>
        <w:rPr>
          <w:rFonts w:hint="eastAsia"/>
          <w:sz w:val="28"/>
          <w:szCs w:val="28"/>
          <w:lang w:val="en-US" w:eastAsia="zh-CN"/>
        </w:rPr>
        <w:t>，关闭成交通知书页面；</w:t>
      </w:r>
    </w:p>
    <w:p w14:paraId="7101D1EF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下载：点击</w:t>
      </w:r>
      <w:r>
        <w:rPr>
          <w:rStyle w:val="21"/>
          <w:rFonts w:hint="eastAsia"/>
          <w:sz w:val="28"/>
          <w:szCs w:val="28"/>
          <w:lang w:val="en-US" w:eastAsia="zh-CN"/>
        </w:rPr>
        <w:t>下载</w:t>
      </w:r>
      <w:r>
        <w:rPr>
          <w:rFonts w:hint="eastAsia"/>
          <w:sz w:val="28"/>
          <w:szCs w:val="28"/>
          <w:lang w:val="en-US" w:eastAsia="zh-CN"/>
        </w:rPr>
        <w:t>，支持导出PDF形式的成交通知书；</w:t>
      </w:r>
    </w:p>
    <w:p w14:paraId="396AFD5A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打印：点击</w:t>
      </w:r>
      <w:r>
        <w:rPr>
          <w:rStyle w:val="21"/>
          <w:rFonts w:hint="eastAsia"/>
          <w:sz w:val="28"/>
          <w:szCs w:val="28"/>
          <w:lang w:val="en-US" w:eastAsia="zh-CN"/>
        </w:rPr>
        <w:t>打印</w:t>
      </w:r>
      <w:r>
        <w:rPr>
          <w:rFonts w:hint="eastAsia"/>
          <w:sz w:val="28"/>
          <w:szCs w:val="28"/>
          <w:lang w:val="en-US" w:eastAsia="zh-CN"/>
        </w:rPr>
        <w:t>，支持成交通知书打印。</w:t>
      </w:r>
    </w:p>
    <w:p w14:paraId="08FB9EA1">
      <w:pPr>
        <w:pStyle w:val="3"/>
        <w:numPr>
          <w:ilvl w:val="0"/>
          <w:numId w:val="5"/>
        </w:numPr>
        <w:bidi w:val="0"/>
        <w:ind w:left="432" w:leftChars="0" w:hanging="432" w:firstLineChars="0"/>
      </w:pPr>
      <w:bookmarkStart w:id="3" w:name="_Toc20313"/>
      <w:bookmarkStart w:id="4" w:name="_Toc21539"/>
      <w:r>
        <w:rPr>
          <w:rFonts w:hint="eastAsia"/>
          <w:lang w:val="en-US" w:eastAsia="zh-CN"/>
        </w:rPr>
        <w:t>通知公告</w:t>
      </w:r>
      <w:bookmarkEnd w:id="3"/>
      <w:bookmarkEnd w:id="4"/>
    </w:p>
    <w:p w14:paraId="455947E1">
      <w:r>
        <w:drawing>
          <wp:inline distT="0" distB="0" distL="114300" distR="114300">
            <wp:extent cx="1516380" cy="457200"/>
            <wp:effectExtent l="0" t="0" r="762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EE971">
      <w:pPr>
        <w:pStyle w:val="4"/>
        <w:numPr>
          <w:ilvl w:val="1"/>
          <w:numId w:val="5"/>
        </w:numPr>
        <w:bidi w:val="0"/>
        <w:ind w:left="575" w:leftChars="0" w:hanging="575" w:firstLineChars="0"/>
        <w:rPr>
          <w:rFonts w:hint="eastAsia"/>
        </w:rPr>
      </w:pPr>
      <w:bookmarkStart w:id="5" w:name="_Toc1273"/>
      <w:bookmarkStart w:id="6" w:name="_Toc15788"/>
      <w:r>
        <w:rPr>
          <w:rFonts w:hint="eastAsia"/>
          <w:lang w:val="en-US" w:eastAsia="zh-CN"/>
        </w:rPr>
        <w:t>公告列表</w:t>
      </w:r>
      <w:bookmarkEnd w:id="5"/>
      <w:bookmarkEnd w:id="6"/>
    </w:p>
    <w:p w14:paraId="1533C4C9"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供应商登录到寻源系统，通过【通知公告】功能模块，查看采购人员发布的公告信息。</w:t>
      </w:r>
    </w:p>
    <w:p w14:paraId="0B8640B2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3675" cy="2620010"/>
            <wp:effectExtent l="9525" t="9525" r="20320" b="222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20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7B979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公告列表</w:t>
      </w:r>
    </w:p>
    <w:p w14:paraId="2B31DEFE">
      <w:pPr>
        <w:ind w:firstLine="42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公告类型包括采购公告、采购邀请、变更公告、成交结果公告、成交通知书、澄清公告。</w:t>
      </w:r>
    </w:p>
    <w:p w14:paraId="5ED617E6">
      <w:pPr>
        <w:pStyle w:val="5"/>
        <w:numPr>
          <w:ilvl w:val="2"/>
          <w:numId w:val="5"/>
        </w:numPr>
        <w:bidi w:val="0"/>
        <w:ind w:left="720" w:leftChars="0" w:hanging="720" w:firstLineChars="0"/>
      </w:pPr>
      <w:r>
        <w:rPr>
          <w:rFonts w:hint="eastAsia"/>
          <w:lang w:val="en-US" w:eastAsia="zh-CN"/>
        </w:rPr>
        <w:t>公告详情</w:t>
      </w:r>
    </w:p>
    <w:p w14:paraId="73AFE8F2">
      <w:pPr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</w:t>
      </w:r>
      <w:r>
        <w:rPr>
          <w:rStyle w:val="21"/>
          <w:rFonts w:hint="eastAsia"/>
          <w:sz w:val="28"/>
          <w:szCs w:val="28"/>
          <w:lang w:val="en-US" w:eastAsia="zh-CN"/>
        </w:rPr>
        <w:t>公告详情</w:t>
      </w:r>
      <w:r>
        <w:rPr>
          <w:rFonts w:hint="eastAsia"/>
          <w:lang w:val="en-US" w:eastAsia="zh-CN"/>
        </w:rPr>
        <w:t>。</w:t>
      </w:r>
    </w:p>
    <w:p w14:paraId="63BAA5B0">
      <w:pPr>
        <w:bidi w:val="0"/>
      </w:pPr>
      <w:r>
        <w:drawing>
          <wp:inline distT="0" distB="0" distL="114300" distR="114300">
            <wp:extent cx="5267960" cy="2628265"/>
            <wp:effectExtent l="9525" t="9525" r="10795" b="139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28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2F1B1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公告列表</w:t>
      </w:r>
    </w:p>
    <w:p w14:paraId="68DB5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1、关闭公告</w:t>
      </w:r>
    </w:p>
    <w:p w14:paraId="1C84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弹出公告详情页面，点击</w:t>
      </w:r>
      <w:r>
        <w:rPr>
          <w:rStyle w:val="21"/>
          <w:rFonts w:hint="eastAsia"/>
          <w:sz w:val="28"/>
          <w:szCs w:val="28"/>
          <w:lang w:val="en-US" w:eastAsia="zh-CN"/>
        </w:rPr>
        <w:t>关闭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，关闭弹出框，返回到公告列表。</w:t>
      </w:r>
    </w:p>
    <w:p w14:paraId="0B612795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采购公告</w:t>
      </w:r>
    </w:p>
    <w:p w14:paraId="798DF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公告类型为“采购公告”，具有</w:t>
      </w:r>
      <w:r>
        <w:rPr>
          <w:rStyle w:val="21"/>
          <w:rFonts w:hint="eastAsia"/>
          <w:sz w:val="28"/>
          <w:szCs w:val="28"/>
          <w:lang w:val="en-US" w:eastAsia="zh-CN"/>
        </w:rPr>
        <w:t>查看报名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操作，点击</w:t>
      </w:r>
      <w:r>
        <w:rPr>
          <w:rStyle w:val="21"/>
          <w:rFonts w:hint="eastAsia"/>
          <w:sz w:val="28"/>
          <w:szCs w:val="28"/>
          <w:lang w:val="en-US" w:eastAsia="zh-CN"/>
        </w:rPr>
        <w:t>查看报名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，进入项目报名页面；填写报名信息，点击</w:t>
      </w:r>
      <w:r>
        <w:rPr>
          <w:rStyle w:val="21"/>
          <w:rFonts w:hint="eastAsia"/>
          <w:sz w:val="28"/>
          <w:szCs w:val="28"/>
          <w:lang w:val="en-US" w:eastAsia="zh-CN"/>
        </w:rPr>
        <w:t>我要报名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，生成报名回执，点击</w:t>
      </w:r>
      <w:r>
        <w:rPr>
          <w:rStyle w:val="21"/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已知悉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报名成功。</w:t>
      </w:r>
    </w:p>
    <w:p w14:paraId="4B6BE5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规则说明：</w:t>
      </w:r>
    </w:p>
    <w:p w14:paraId="5F91ABE6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如果采购端设置允许联合体报名，则供应商报名时可选择联合报名供应商，上传联合投标协议；</w:t>
      </w:r>
    </w:p>
    <w:p w14:paraId="6022ECA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（2）报名时间截止后，仅支持报名信息查看。</w:t>
      </w:r>
    </w:p>
    <w:p w14:paraId="6AC9D340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/>
          <w:lang w:val="en-US" w:eastAsia="zh-CN"/>
        </w:rPr>
      </w:pPr>
    </w:p>
    <w:sectPr>
      <w:footerReference r:id="rId7" w:type="firs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3BEF7F0-8ABF-4A6C-8362-A1932BA22815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2" w:fontKey="{076368E2-DEA9-41D5-BF79-3FCDCDEA268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0B74B">
    <w:pPr>
      <w:pStyle w:val="13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30CA0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ztIn8zAgAAY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R+uqQ9ldQOdZ&#10;FrZ6Z3lME4X0dnUMELPVOArUqdLrht5rq9TPSWzuP/dt1OO/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ztIn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430CA0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705C0"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8F5E0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8F5E0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36C3E">
    <w:pPr>
      <w:pStyle w:val="14"/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C39BC"/>
    <w:multiLevelType w:val="singleLevel"/>
    <w:tmpl w:val="8F2C39B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A2FC6DD"/>
    <w:multiLevelType w:val="singleLevel"/>
    <w:tmpl w:val="9A2FC6D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5D33892"/>
    <w:multiLevelType w:val="multilevel"/>
    <w:tmpl w:val="A5D33892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DE15982D"/>
    <w:multiLevelType w:val="singleLevel"/>
    <w:tmpl w:val="DE15982D"/>
    <w:lvl w:ilvl="0" w:tentative="0">
      <w:start w:val="1"/>
      <w:numFmt w:val="decimal"/>
      <w:pStyle w:val="12"/>
      <w:lvlText w:val="图%1"/>
      <w:lvlJc w:val="center"/>
      <w:pPr>
        <w:ind w:left="425" w:hanging="425"/>
      </w:pPr>
      <w:rPr>
        <w:rFonts w:hint="default" w:ascii="宋体" w:hAnsi="宋体" w:eastAsia="宋体" w:cs="宋体"/>
        <w:sz w:val="24"/>
        <w:szCs w:val="24"/>
      </w:rPr>
    </w:lvl>
  </w:abstractNum>
  <w:abstractNum w:abstractNumId="4">
    <w:nsid w:val="FDED560B"/>
    <w:multiLevelType w:val="singleLevel"/>
    <w:tmpl w:val="FDED560B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0AD5AE27"/>
    <w:multiLevelType w:val="singleLevel"/>
    <w:tmpl w:val="0AD5AE27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0EEC2DD7"/>
    <w:multiLevelType w:val="multilevel"/>
    <w:tmpl w:val="0EEC2DD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0F834A1D"/>
    <w:multiLevelType w:val="singleLevel"/>
    <w:tmpl w:val="0F834A1D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1984277B"/>
    <w:multiLevelType w:val="singleLevel"/>
    <w:tmpl w:val="1984277B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2A3DD44B"/>
    <w:multiLevelType w:val="singleLevel"/>
    <w:tmpl w:val="2A3DD44B"/>
    <w:lvl w:ilvl="0" w:tentative="0">
      <w:start w:val="1"/>
      <w:numFmt w:val="decimal"/>
      <w:suff w:val="nothing"/>
      <w:lvlText w:val="（%1）"/>
      <w:lvlJc w:val="left"/>
    </w:lvl>
  </w:abstractNum>
  <w:abstractNum w:abstractNumId="10">
    <w:nsid w:val="2EA07583"/>
    <w:multiLevelType w:val="multilevel"/>
    <w:tmpl w:val="2EA07583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1">
    <w:nsid w:val="5448B616"/>
    <w:multiLevelType w:val="singleLevel"/>
    <w:tmpl w:val="5448B616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633F91DC"/>
    <w:multiLevelType w:val="singleLevel"/>
    <w:tmpl w:val="633F91DC"/>
    <w:lvl w:ilvl="0" w:tentative="0">
      <w:start w:val="1"/>
      <w:numFmt w:val="decimal"/>
      <w:suff w:val="nothing"/>
      <w:lvlText w:val="%1、"/>
      <w:lvlJc w:val="left"/>
    </w:lvl>
  </w:abstractNum>
  <w:abstractNum w:abstractNumId="13">
    <w:nsid w:val="6BE0976A"/>
    <w:multiLevelType w:val="singleLevel"/>
    <w:tmpl w:val="6BE0976A"/>
    <w:lvl w:ilvl="0" w:tentative="0">
      <w:start w:val="1"/>
      <w:numFmt w:val="decimal"/>
      <w:suff w:val="nothing"/>
      <w:lvlText w:val="%1、"/>
      <w:lvlJc w:val="left"/>
    </w:lvl>
  </w:abstractNum>
  <w:abstractNum w:abstractNumId="14">
    <w:nsid w:val="7478DD8E"/>
    <w:multiLevelType w:val="singleLevel"/>
    <w:tmpl w:val="7478DD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14"/>
  </w:num>
  <w:num w:numId="11">
    <w:abstractNumId w:val="1"/>
  </w:num>
  <w:num w:numId="12">
    <w:abstractNumId w:val="12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36444CFC"/>
    <w:rsid w:val="00192977"/>
    <w:rsid w:val="0046550B"/>
    <w:rsid w:val="005033B7"/>
    <w:rsid w:val="008B0101"/>
    <w:rsid w:val="0095209E"/>
    <w:rsid w:val="00C4499A"/>
    <w:rsid w:val="00FC206D"/>
    <w:rsid w:val="0116312F"/>
    <w:rsid w:val="01352967"/>
    <w:rsid w:val="01374E54"/>
    <w:rsid w:val="01623198"/>
    <w:rsid w:val="01D37272"/>
    <w:rsid w:val="02175B46"/>
    <w:rsid w:val="02443CCC"/>
    <w:rsid w:val="024547B8"/>
    <w:rsid w:val="0289577B"/>
    <w:rsid w:val="02D83DE0"/>
    <w:rsid w:val="02EB5691"/>
    <w:rsid w:val="02EE636A"/>
    <w:rsid w:val="0365214C"/>
    <w:rsid w:val="03983B53"/>
    <w:rsid w:val="03D65F1B"/>
    <w:rsid w:val="03E02A63"/>
    <w:rsid w:val="03E33071"/>
    <w:rsid w:val="03E52881"/>
    <w:rsid w:val="03EC4758"/>
    <w:rsid w:val="03F270A3"/>
    <w:rsid w:val="04284342"/>
    <w:rsid w:val="042A6EF2"/>
    <w:rsid w:val="047C6BB1"/>
    <w:rsid w:val="04D15F8B"/>
    <w:rsid w:val="04D31337"/>
    <w:rsid w:val="052C1F57"/>
    <w:rsid w:val="05393890"/>
    <w:rsid w:val="054933A7"/>
    <w:rsid w:val="05685F23"/>
    <w:rsid w:val="05851162"/>
    <w:rsid w:val="05BC1721"/>
    <w:rsid w:val="05C73C93"/>
    <w:rsid w:val="05CA098C"/>
    <w:rsid w:val="05ED6AF4"/>
    <w:rsid w:val="06361B7E"/>
    <w:rsid w:val="06451F9D"/>
    <w:rsid w:val="06620BC5"/>
    <w:rsid w:val="06B5430B"/>
    <w:rsid w:val="06DF6D60"/>
    <w:rsid w:val="06E17D3B"/>
    <w:rsid w:val="06F07C0E"/>
    <w:rsid w:val="07013F3A"/>
    <w:rsid w:val="070A7AD6"/>
    <w:rsid w:val="07504EC1"/>
    <w:rsid w:val="07526E7B"/>
    <w:rsid w:val="076B03D0"/>
    <w:rsid w:val="0777244E"/>
    <w:rsid w:val="077C7A64"/>
    <w:rsid w:val="07A121DD"/>
    <w:rsid w:val="07F42098"/>
    <w:rsid w:val="0818264D"/>
    <w:rsid w:val="081E1EE8"/>
    <w:rsid w:val="082F2D28"/>
    <w:rsid w:val="0858227F"/>
    <w:rsid w:val="087D7E8A"/>
    <w:rsid w:val="08804154"/>
    <w:rsid w:val="08835F7F"/>
    <w:rsid w:val="08D8516E"/>
    <w:rsid w:val="08FA6F74"/>
    <w:rsid w:val="09496A8A"/>
    <w:rsid w:val="096609CC"/>
    <w:rsid w:val="09D27E84"/>
    <w:rsid w:val="09FA03E7"/>
    <w:rsid w:val="0A2829C8"/>
    <w:rsid w:val="0A376EE4"/>
    <w:rsid w:val="0A643155"/>
    <w:rsid w:val="0A742C74"/>
    <w:rsid w:val="0A89591B"/>
    <w:rsid w:val="0AAE43D8"/>
    <w:rsid w:val="0AB1211B"/>
    <w:rsid w:val="0AC41E4E"/>
    <w:rsid w:val="0ACC0D02"/>
    <w:rsid w:val="0ADB1143"/>
    <w:rsid w:val="0AF90BA1"/>
    <w:rsid w:val="0AFE46C6"/>
    <w:rsid w:val="0B301291"/>
    <w:rsid w:val="0B7C0033"/>
    <w:rsid w:val="0B7F7B23"/>
    <w:rsid w:val="0BF7796E"/>
    <w:rsid w:val="0C126BE9"/>
    <w:rsid w:val="0C1939EF"/>
    <w:rsid w:val="0C572DD7"/>
    <w:rsid w:val="0C805690"/>
    <w:rsid w:val="0CF81014"/>
    <w:rsid w:val="0D132C19"/>
    <w:rsid w:val="0D3125DB"/>
    <w:rsid w:val="0D501777"/>
    <w:rsid w:val="0DB0733E"/>
    <w:rsid w:val="0DBE1A50"/>
    <w:rsid w:val="0E2E354D"/>
    <w:rsid w:val="0E424B64"/>
    <w:rsid w:val="0E456FE6"/>
    <w:rsid w:val="0E611762"/>
    <w:rsid w:val="0E652D4D"/>
    <w:rsid w:val="0E7D0D45"/>
    <w:rsid w:val="0EFF611D"/>
    <w:rsid w:val="0F3A4115"/>
    <w:rsid w:val="0F4B48EC"/>
    <w:rsid w:val="0FA91612"/>
    <w:rsid w:val="0FDD12BC"/>
    <w:rsid w:val="102661B3"/>
    <w:rsid w:val="1028716B"/>
    <w:rsid w:val="105E4255"/>
    <w:rsid w:val="107A1AF8"/>
    <w:rsid w:val="107B228A"/>
    <w:rsid w:val="10C55FD8"/>
    <w:rsid w:val="11685F17"/>
    <w:rsid w:val="116A675C"/>
    <w:rsid w:val="11C444E1"/>
    <w:rsid w:val="11D24E50"/>
    <w:rsid w:val="120616D0"/>
    <w:rsid w:val="120D5E88"/>
    <w:rsid w:val="12430BBA"/>
    <w:rsid w:val="12E56750"/>
    <w:rsid w:val="13833F28"/>
    <w:rsid w:val="138E2FF9"/>
    <w:rsid w:val="13950FAE"/>
    <w:rsid w:val="13B77A90"/>
    <w:rsid w:val="13BB36C2"/>
    <w:rsid w:val="13E50207"/>
    <w:rsid w:val="142A47C9"/>
    <w:rsid w:val="14301436"/>
    <w:rsid w:val="143D5AD8"/>
    <w:rsid w:val="146224CF"/>
    <w:rsid w:val="147C119C"/>
    <w:rsid w:val="14977C8B"/>
    <w:rsid w:val="14A10B0A"/>
    <w:rsid w:val="14FD01F5"/>
    <w:rsid w:val="15D171CD"/>
    <w:rsid w:val="160B0931"/>
    <w:rsid w:val="16287735"/>
    <w:rsid w:val="1648631A"/>
    <w:rsid w:val="167A60D0"/>
    <w:rsid w:val="1680730F"/>
    <w:rsid w:val="16B70AB9"/>
    <w:rsid w:val="16C727BD"/>
    <w:rsid w:val="16DB74E6"/>
    <w:rsid w:val="16EF2001"/>
    <w:rsid w:val="16F45869"/>
    <w:rsid w:val="173D7876"/>
    <w:rsid w:val="17B3037A"/>
    <w:rsid w:val="17C14A06"/>
    <w:rsid w:val="17DD00AB"/>
    <w:rsid w:val="180102EB"/>
    <w:rsid w:val="180C0990"/>
    <w:rsid w:val="18327337"/>
    <w:rsid w:val="18477C1A"/>
    <w:rsid w:val="18493529"/>
    <w:rsid w:val="184C6FDF"/>
    <w:rsid w:val="18624EA6"/>
    <w:rsid w:val="18953C00"/>
    <w:rsid w:val="18A706B9"/>
    <w:rsid w:val="18F11EBA"/>
    <w:rsid w:val="19007FE8"/>
    <w:rsid w:val="1940090A"/>
    <w:rsid w:val="195002D9"/>
    <w:rsid w:val="19C72DC1"/>
    <w:rsid w:val="1A0062D3"/>
    <w:rsid w:val="1A044015"/>
    <w:rsid w:val="1A6458B0"/>
    <w:rsid w:val="1A9058A9"/>
    <w:rsid w:val="1A9D2CAA"/>
    <w:rsid w:val="1B177D78"/>
    <w:rsid w:val="1B235571"/>
    <w:rsid w:val="1B523826"/>
    <w:rsid w:val="1B865E71"/>
    <w:rsid w:val="1BE248E2"/>
    <w:rsid w:val="1C193069"/>
    <w:rsid w:val="1C220782"/>
    <w:rsid w:val="1CD00BDB"/>
    <w:rsid w:val="1D1C78C7"/>
    <w:rsid w:val="1D2247B2"/>
    <w:rsid w:val="1D360481"/>
    <w:rsid w:val="1D481E67"/>
    <w:rsid w:val="1D631052"/>
    <w:rsid w:val="1D6F3E9B"/>
    <w:rsid w:val="1DD261D8"/>
    <w:rsid w:val="1DDE06AA"/>
    <w:rsid w:val="1DF20628"/>
    <w:rsid w:val="1E38595B"/>
    <w:rsid w:val="1E3B50A6"/>
    <w:rsid w:val="1E6255A3"/>
    <w:rsid w:val="1E780B2E"/>
    <w:rsid w:val="1E860985"/>
    <w:rsid w:val="1EA47B74"/>
    <w:rsid w:val="1EA84160"/>
    <w:rsid w:val="1EE61F3B"/>
    <w:rsid w:val="1F705755"/>
    <w:rsid w:val="1FB72BEA"/>
    <w:rsid w:val="1FFC12EA"/>
    <w:rsid w:val="2024742B"/>
    <w:rsid w:val="2034191D"/>
    <w:rsid w:val="204C27C1"/>
    <w:rsid w:val="20684B9E"/>
    <w:rsid w:val="20831A0C"/>
    <w:rsid w:val="208F6A1D"/>
    <w:rsid w:val="2096173F"/>
    <w:rsid w:val="209C11BD"/>
    <w:rsid w:val="20C53DD2"/>
    <w:rsid w:val="212212EE"/>
    <w:rsid w:val="221233E5"/>
    <w:rsid w:val="228166AC"/>
    <w:rsid w:val="22BB36DF"/>
    <w:rsid w:val="22C6119A"/>
    <w:rsid w:val="231A55C2"/>
    <w:rsid w:val="2335523F"/>
    <w:rsid w:val="234F654A"/>
    <w:rsid w:val="2366364A"/>
    <w:rsid w:val="23863066"/>
    <w:rsid w:val="23AE705F"/>
    <w:rsid w:val="24466FD8"/>
    <w:rsid w:val="2457217A"/>
    <w:rsid w:val="246577DC"/>
    <w:rsid w:val="24700EB7"/>
    <w:rsid w:val="24A97A1D"/>
    <w:rsid w:val="24D0647E"/>
    <w:rsid w:val="25096983"/>
    <w:rsid w:val="2519232A"/>
    <w:rsid w:val="259E3B10"/>
    <w:rsid w:val="25B12B77"/>
    <w:rsid w:val="25C32FD6"/>
    <w:rsid w:val="260C2082"/>
    <w:rsid w:val="26392AFC"/>
    <w:rsid w:val="2649448A"/>
    <w:rsid w:val="2666570F"/>
    <w:rsid w:val="26926505"/>
    <w:rsid w:val="26977FBF"/>
    <w:rsid w:val="269C3F04"/>
    <w:rsid w:val="26B20955"/>
    <w:rsid w:val="27657E3D"/>
    <w:rsid w:val="27817875"/>
    <w:rsid w:val="280E42B1"/>
    <w:rsid w:val="28170CA0"/>
    <w:rsid w:val="282C4737"/>
    <w:rsid w:val="283A1500"/>
    <w:rsid w:val="284E7701"/>
    <w:rsid w:val="285651E9"/>
    <w:rsid w:val="287E1436"/>
    <w:rsid w:val="28C80E83"/>
    <w:rsid w:val="28EA66EF"/>
    <w:rsid w:val="28F416F8"/>
    <w:rsid w:val="29143B49"/>
    <w:rsid w:val="294C2E16"/>
    <w:rsid w:val="298309EF"/>
    <w:rsid w:val="29A33702"/>
    <w:rsid w:val="29CD1772"/>
    <w:rsid w:val="2A12073C"/>
    <w:rsid w:val="2A7744A6"/>
    <w:rsid w:val="2A9141DE"/>
    <w:rsid w:val="2AB27175"/>
    <w:rsid w:val="2ACF41CB"/>
    <w:rsid w:val="2AD36B7A"/>
    <w:rsid w:val="2B213D6F"/>
    <w:rsid w:val="2B6C1A1A"/>
    <w:rsid w:val="2B8B5529"/>
    <w:rsid w:val="2BBD2276"/>
    <w:rsid w:val="2BD1187D"/>
    <w:rsid w:val="2C263956"/>
    <w:rsid w:val="2C435CEE"/>
    <w:rsid w:val="2C4F150B"/>
    <w:rsid w:val="2C741334"/>
    <w:rsid w:val="2CA53C9B"/>
    <w:rsid w:val="2CB07AEF"/>
    <w:rsid w:val="2CB43679"/>
    <w:rsid w:val="2D1E78D3"/>
    <w:rsid w:val="2D5E2F8B"/>
    <w:rsid w:val="2E536EC1"/>
    <w:rsid w:val="2E7E4B59"/>
    <w:rsid w:val="2E923616"/>
    <w:rsid w:val="2E9265E9"/>
    <w:rsid w:val="2EAD65D1"/>
    <w:rsid w:val="2ECB73C7"/>
    <w:rsid w:val="2EEA7989"/>
    <w:rsid w:val="2F0D7070"/>
    <w:rsid w:val="2F516E43"/>
    <w:rsid w:val="2F5647DA"/>
    <w:rsid w:val="2F79658B"/>
    <w:rsid w:val="2F836770"/>
    <w:rsid w:val="2FC71915"/>
    <w:rsid w:val="2FDE6C5E"/>
    <w:rsid w:val="2FEE0926"/>
    <w:rsid w:val="30087837"/>
    <w:rsid w:val="300A35B0"/>
    <w:rsid w:val="30227E4E"/>
    <w:rsid w:val="303C49D6"/>
    <w:rsid w:val="3058256D"/>
    <w:rsid w:val="305E16BE"/>
    <w:rsid w:val="3079401A"/>
    <w:rsid w:val="30A672E3"/>
    <w:rsid w:val="30A93943"/>
    <w:rsid w:val="30D065A7"/>
    <w:rsid w:val="30D962B7"/>
    <w:rsid w:val="30ED1FF3"/>
    <w:rsid w:val="30FD4381"/>
    <w:rsid w:val="31061D73"/>
    <w:rsid w:val="31376262"/>
    <w:rsid w:val="316A69FC"/>
    <w:rsid w:val="31A67308"/>
    <w:rsid w:val="31D3754E"/>
    <w:rsid w:val="31FE7AAD"/>
    <w:rsid w:val="322021DF"/>
    <w:rsid w:val="322A65E8"/>
    <w:rsid w:val="323D45F5"/>
    <w:rsid w:val="32533A12"/>
    <w:rsid w:val="32641C7C"/>
    <w:rsid w:val="328A4FFE"/>
    <w:rsid w:val="32A95302"/>
    <w:rsid w:val="32BC0C59"/>
    <w:rsid w:val="32D23448"/>
    <w:rsid w:val="32F91071"/>
    <w:rsid w:val="331D35FA"/>
    <w:rsid w:val="3329294F"/>
    <w:rsid w:val="334A276A"/>
    <w:rsid w:val="335F00B6"/>
    <w:rsid w:val="340C5B48"/>
    <w:rsid w:val="348B3988"/>
    <w:rsid w:val="34AC10D9"/>
    <w:rsid w:val="353D58FA"/>
    <w:rsid w:val="35494592"/>
    <w:rsid w:val="35777B3C"/>
    <w:rsid w:val="35CB558F"/>
    <w:rsid w:val="3619718C"/>
    <w:rsid w:val="362E4435"/>
    <w:rsid w:val="36391F82"/>
    <w:rsid w:val="363D5425"/>
    <w:rsid w:val="36444CFC"/>
    <w:rsid w:val="364C4AA4"/>
    <w:rsid w:val="36AC6E01"/>
    <w:rsid w:val="36EE56F1"/>
    <w:rsid w:val="36F154C9"/>
    <w:rsid w:val="36F34D9D"/>
    <w:rsid w:val="374E6F28"/>
    <w:rsid w:val="375021F0"/>
    <w:rsid w:val="37C74CED"/>
    <w:rsid w:val="38407361"/>
    <w:rsid w:val="386817BB"/>
    <w:rsid w:val="389A0FAF"/>
    <w:rsid w:val="38A70954"/>
    <w:rsid w:val="38A8605B"/>
    <w:rsid w:val="39125C98"/>
    <w:rsid w:val="39665CFB"/>
    <w:rsid w:val="397877DC"/>
    <w:rsid w:val="398268AC"/>
    <w:rsid w:val="39B974FF"/>
    <w:rsid w:val="39CC2F28"/>
    <w:rsid w:val="39E76710"/>
    <w:rsid w:val="39EC1C1E"/>
    <w:rsid w:val="3A085133"/>
    <w:rsid w:val="3A897693"/>
    <w:rsid w:val="3AA50AA5"/>
    <w:rsid w:val="3AAE5505"/>
    <w:rsid w:val="3AE570F3"/>
    <w:rsid w:val="3B57488A"/>
    <w:rsid w:val="3C047A4D"/>
    <w:rsid w:val="3C0D59C5"/>
    <w:rsid w:val="3C2E028E"/>
    <w:rsid w:val="3C327BBA"/>
    <w:rsid w:val="3C371BD0"/>
    <w:rsid w:val="3CC33464"/>
    <w:rsid w:val="3CCA47F2"/>
    <w:rsid w:val="3CF90C34"/>
    <w:rsid w:val="3D7A0F3D"/>
    <w:rsid w:val="3D980B7F"/>
    <w:rsid w:val="3DBD69BF"/>
    <w:rsid w:val="3DC36684"/>
    <w:rsid w:val="3DCE0345"/>
    <w:rsid w:val="3E113063"/>
    <w:rsid w:val="3E314816"/>
    <w:rsid w:val="3E3A3E57"/>
    <w:rsid w:val="3E3F2FBE"/>
    <w:rsid w:val="3E7235CD"/>
    <w:rsid w:val="3F4F6FBC"/>
    <w:rsid w:val="3F9B4224"/>
    <w:rsid w:val="3FB829A4"/>
    <w:rsid w:val="3FC36381"/>
    <w:rsid w:val="3FD73A5A"/>
    <w:rsid w:val="404843AC"/>
    <w:rsid w:val="404A2331"/>
    <w:rsid w:val="40871ECC"/>
    <w:rsid w:val="408E5B37"/>
    <w:rsid w:val="40CF0629"/>
    <w:rsid w:val="41081830"/>
    <w:rsid w:val="41195CD6"/>
    <w:rsid w:val="411C3143"/>
    <w:rsid w:val="412A78EC"/>
    <w:rsid w:val="414B7D8F"/>
    <w:rsid w:val="41C873B1"/>
    <w:rsid w:val="41FE425C"/>
    <w:rsid w:val="42625CDA"/>
    <w:rsid w:val="427B140D"/>
    <w:rsid w:val="42AC54D2"/>
    <w:rsid w:val="42EA56E9"/>
    <w:rsid w:val="42F445C4"/>
    <w:rsid w:val="43417F56"/>
    <w:rsid w:val="436534EE"/>
    <w:rsid w:val="43F7782F"/>
    <w:rsid w:val="44401104"/>
    <w:rsid w:val="44703ED1"/>
    <w:rsid w:val="45505841"/>
    <w:rsid w:val="457C68A6"/>
    <w:rsid w:val="45E111F7"/>
    <w:rsid w:val="46080139"/>
    <w:rsid w:val="462F256D"/>
    <w:rsid w:val="46337713"/>
    <w:rsid w:val="466252D1"/>
    <w:rsid w:val="4698770F"/>
    <w:rsid w:val="47046B53"/>
    <w:rsid w:val="470923BB"/>
    <w:rsid w:val="472F7F37"/>
    <w:rsid w:val="47780323"/>
    <w:rsid w:val="47B42327"/>
    <w:rsid w:val="47BC567F"/>
    <w:rsid w:val="47CE1DE5"/>
    <w:rsid w:val="47DE73A4"/>
    <w:rsid w:val="48187FFB"/>
    <w:rsid w:val="485D0325"/>
    <w:rsid w:val="48965ED0"/>
    <w:rsid w:val="48A64365"/>
    <w:rsid w:val="48C42A3E"/>
    <w:rsid w:val="48D715C5"/>
    <w:rsid w:val="492E7EB7"/>
    <w:rsid w:val="494B0A69"/>
    <w:rsid w:val="49742209"/>
    <w:rsid w:val="498945F3"/>
    <w:rsid w:val="498B70B7"/>
    <w:rsid w:val="499065B2"/>
    <w:rsid w:val="4A537411"/>
    <w:rsid w:val="4A874806"/>
    <w:rsid w:val="4AD839BC"/>
    <w:rsid w:val="4AFA24A4"/>
    <w:rsid w:val="4AFB50DC"/>
    <w:rsid w:val="4AFD6B18"/>
    <w:rsid w:val="4B0B531E"/>
    <w:rsid w:val="4B0E78FD"/>
    <w:rsid w:val="4B275FE1"/>
    <w:rsid w:val="4B5A31E5"/>
    <w:rsid w:val="4B684E77"/>
    <w:rsid w:val="4BA91A77"/>
    <w:rsid w:val="4C172E84"/>
    <w:rsid w:val="4C182C2B"/>
    <w:rsid w:val="4C30291D"/>
    <w:rsid w:val="4C3C0FF9"/>
    <w:rsid w:val="4CA47848"/>
    <w:rsid w:val="4CA502B0"/>
    <w:rsid w:val="4CB93F3C"/>
    <w:rsid w:val="4D090A1F"/>
    <w:rsid w:val="4D10472B"/>
    <w:rsid w:val="4D9710EA"/>
    <w:rsid w:val="4DE736CC"/>
    <w:rsid w:val="4E305CE1"/>
    <w:rsid w:val="4E612ADD"/>
    <w:rsid w:val="4EA83681"/>
    <w:rsid w:val="4EB90223"/>
    <w:rsid w:val="4ED537E4"/>
    <w:rsid w:val="4F0C47F7"/>
    <w:rsid w:val="4F74239C"/>
    <w:rsid w:val="4FBB123C"/>
    <w:rsid w:val="4FE15C83"/>
    <w:rsid w:val="4FE40DB0"/>
    <w:rsid w:val="4FF87CDF"/>
    <w:rsid w:val="50721D94"/>
    <w:rsid w:val="50AF7929"/>
    <w:rsid w:val="50B20A1C"/>
    <w:rsid w:val="50B97ED3"/>
    <w:rsid w:val="50FB4B23"/>
    <w:rsid w:val="50FD4D3F"/>
    <w:rsid w:val="51492772"/>
    <w:rsid w:val="515A12DC"/>
    <w:rsid w:val="517A6C31"/>
    <w:rsid w:val="51862DA5"/>
    <w:rsid w:val="51B82A14"/>
    <w:rsid w:val="51F36142"/>
    <w:rsid w:val="521244FF"/>
    <w:rsid w:val="525A2867"/>
    <w:rsid w:val="525E7A5F"/>
    <w:rsid w:val="52B40959"/>
    <w:rsid w:val="52B96A43"/>
    <w:rsid w:val="52D87FE4"/>
    <w:rsid w:val="53057784"/>
    <w:rsid w:val="531E2D4A"/>
    <w:rsid w:val="537D3F7B"/>
    <w:rsid w:val="53864205"/>
    <w:rsid w:val="5397546E"/>
    <w:rsid w:val="53990241"/>
    <w:rsid w:val="53BD4125"/>
    <w:rsid w:val="53C02053"/>
    <w:rsid w:val="53F119F9"/>
    <w:rsid w:val="541F1B8B"/>
    <w:rsid w:val="545B75A9"/>
    <w:rsid w:val="549843C0"/>
    <w:rsid w:val="54B905A1"/>
    <w:rsid w:val="552C5BF2"/>
    <w:rsid w:val="55601422"/>
    <w:rsid w:val="559226E7"/>
    <w:rsid w:val="55A77203"/>
    <w:rsid w:val="56026953"/>
    <w:rsid w:val="56292132"/>
    <w:rsid w:val="564C4D47"/>
    <w:rsid w:val="565371AF"/>
    <w:rsid w:val="56BA257A"/>
    <w:rsid w:val="56E61DD1"/>
    <w:rsid w:val="56E90D97"/>
    <w:rsid w:val="572B1EDA"/>
    <w:rsid w:val="57355330"/>
    <w:rsid w:val="57666306"/>
    <w:rsid w:val="57792DAF"/>
    <w:rsid w:val="57AA1051"/>
    <w:rsid w:val="57B7551B"/>
    <w:rsid w:val="57EF3C16"/>
    <w:rsid w:val="5823712D"/>
    <w:rsid w:val="58561DF5"/>
    <w:rsid w:val="5889335C"/>
    <w:rsid w:val="588B1ED4"/>
    <w:rsid w:val="58AB6FA2"/>
    <w:rsid w:val="58F06E3A"/>
    <w:rsid w:val="591C5F7E"/>
    <w:rsid w:val="593F2433"/>
    <w:rsid w:val="5959307E"/>
    <w:rsid w:val="59CB4517"/>
    <w:rsid w:val="5A025174"/>
    <w:rsid w:val="5A307F33"/>
    <w:rsid w:val="5A6574B1"/>
    <w:rsid w:val="5A7C54C5"/>
    <w:rsid w:val="5B0C1A7E"/>
    <w:rsid w:val="5B265465"/>
    <w:rsid w:val="5B345801"/>
    <w:rsid w:val="5B484446"/>
    <w:rsid w:val="5B9242D5"/>
    <w:rsid w:val="5B9F6F2B"/>
    <w:rsid w:val="5C1648E2"/>
    <w:rsid w:val="5C1742D4"/>
    <w:rsid w:val="5C197FFF"/>
    <w:rsid w:val="5C1D0043"/>
    <w:rsid w:val="5C2A09B2"/>
    <w:rsid w:val="5C321615"/>
    <w:rsid w:val="5C5029F8"/>
    <w:rsid w:val="5C89677C"/>
    <w:rsid w:val="5C904B8D"/>
    <w:rsid w:val="5CAC586B"/>
    <w:rsid w:val="5CAC724A"/>
    <w:rsid w:val="5CAD5B70"/>
    <w:rsid w:val="5D0D6CB1"/>
    <w:rsid w:val="5D267C90"/>
    <w:rsid w:val="5D2E002E"/>
    <w:rsid w:val="5D3E4715"/>
    <w:rsid w:val="5D3F3236"/>
    <w:rsid w:val="5D746389"/>
    <w:rsid w:val="5D796F08"/>
    <w:rsid w:val="5D9C143B"/>
    <w:rsid w:val="5DA1087A"/>
    <w:rsid w:val="5DFD1C38"/>
    <w:rsid w:val="5E015742"/>
    <w:rsid w:val="5E0F7E5F"/>
    <w:rsid w:val="5E383752"/>
    <w:rsid w:val="5E385608"/>
    <w:rsid w:val="5E3F6360"/>
    <w:rsid w:val="5E857434"/>
    <w:rsid w:val="5EC66B2D"/>
    <w:rsid w:val="5F030A38"/>
    <w:rsid w:val="5F2E2567"/>
    <w:rsid w:val="5F7268F8"/>
    <w:rsid w:val="5F7A22B4"/>
    <w:rsid w:val="5F7F444B"/>
    <w:rsid w:val="5FFE52B2"/>
    <w:rsid w:val="60051912"/>
    <w:rsid w:val="60196D73"/>
    <w:rsid w:val="602721B1"/>
    <w:rsid w:val="6037544B"/>
    <w:rsid w:val="603D7BC0"/>
    <w:rsid w:val="608A1A1F"/>
    <w:rsid w:val="609D3C48"/>
    <w:rsid w:val="60E46463"/>
    <w:rsid w:val="60EA7B3F"/>
    <w:rsid w:val="610572F8"/>
    <w:rsid w:val="61750921"/>
    <w:rsid w:val="618E3791"/>
    <w:rsid w:val="61A34D1B"/>
    <w:rsid w:val="61CA13C7"/>
    <w:rsid w:val="62372E3B"/>
    <w:rsid w:val="626116AA"/>
    <w:rsid w:val="62944DD7"/>
    <w:rsid w:val="62CD3444"/>
    <w:rsid w:val="62D9255B"/>
    <w:rsid w:val="62E55633"/>
    <w:rsid w:val="632C3261"/>
    <w:rsid w:val="63486275"/>
    <w:rsid w:val="634D12F2"/>
    <w:rsid w:val="6378483D"/>
    <w:rsid w:val="63907D62"/>
    <w:rsid w:val="63A70B3A"/>
    <w:rsid w:val="63B16E34"/>
    <w:rsid w:val="64B24FFF"/>
    <w:rsid w:val="64B324A6"/>
    <w:rsid w:val="64B33C3A"/>
    <w:rsid w:val="64C84E78"/>
    <w:rsid w:val="64CE0807"/>
    <w:rsid w:val="650A1380"/>
    <w:rsid w:val="6526341A"/>
    <w:rsid w:val="65364F5A"/>
    <w:rsid w:val="653B6450"/>
    <w:rsid w:val="65B87492"/>
    <w:rsid w:val="65F242EE"/>
    <w:rsid w:val="664B1C51"/>
    <w:rsid w:val="664D7777"/>
    <w:rsid w:val="668477E0"/>
    <w:rsid w:val="669B0EA7"/>
    <w:rsid w:val="66C05EDD"/>
    <w:rsid w:val="66DE6275"/>
    <w:rsid w:val="67B51A77"/>
    <w:rsid w:val="67D55C76"/>
    <w:rsid w:val="67D618A0"/>
    <w:rsid w:val="67DA6090"/>
    <w:rsid w:val="67E33992"/>
    <w:rsid w:val="67E949BD"/>
    <w:rsid w:val="67FC76A6"/>
    <w:rsid w:val="68725BBA"/>
    <w:rsid w:val="68C7351D"/>
    <w:rsid w:val="69411C09"/>
    <w:rsid w:val="69494A41"/>
    <w:rsid w:val="699B6A4B"/>
    <w:rsid w:val="6A0D58BD"/>
    <w:rsid w:val="6A477D8F"/>
    <w:rsid w:val="6A4A2821"/>
    <w:rsid w:val="6A535F65"/>
    <w:rsid w:val="6A722760"/>
    <w:rsid w:val="6AA17B4E"/>
    <w:rsid w:val="6AAA163C"/>
    <w:rsid w:val="6AB029CA"/>
    <w:rsid w:val="6ABE50E7"/>
    <w:rsid w:val="6B132313"/>
    <w:rsid w:val="6B1D25C0"/>
    <w:rsid w:val="6B4F3F91"/>
    <w:rsid w:val="6B6D43D2"/>
    <w:rsid w:val="6B8005EE"/>
    <w:rsid w:val="6BAF67DE"/>
    <w:rsid w:val="6BC256B5"/>
    <w:rsid w:val="6BFF69BE"/>
    <w:rsid w:val="6C0C272D"/>
    <w:rsid w:val="6C101972"/>
    <w:rsid w:val="6C622935"/>
    <w:rsid w:val="6CDF5755"/>
    <w:rsid w:val="6D06067F"/>
    <w:rsid w:val="6D26751E"/>
    <w:rsid w:val="6D580A5D"/>
    <w:rsid w:val="6D7A05DF"/>
    <w:rsid w:val="6DBA4BFD"/>
    <w:rsid w:val="6E9323E7"/>
    <w:rsid w:val="6E9F307A"/>
    <w:rsid w:val="6EBA7973"/>
    <w:rsid w:val="6F93378A"/>
    <w:rsid w:val="6FA41174"/>
    <w:rsid w:val="6FB46289"/>
    <w:rsid w:val="70370CA4"/>
    <w:rsid w:val="70390D6C"/>
    <w:rsid w:val="706B1809"/>
    <w:rsid w:val="708C3591"/>
    <w:rsid w:val="70914AA0"/>
    <w:rsid w:val="70B5706F"/>
    <w:rsid w:val="70F12696"/>
    <w:rsid w:val="713C0B14"/>
    <w:rsid w:val="71533DB7"/>
    <w:rsid w:val="715A323E"/>
    <w:rsid w:val="71A7216A"/>
    <w:rsid w:val="71D23226"/>
    <w:rsid w:val="71D63E1C"/>
    <w:rsid w:val="723251EB"/>
    <w:rsid w:val="72824568"/>
    <w:rsid w:val="72BD6F2B"/>
    <w:rsid w:val="730B0923"/>
    <w:rsid w:val="731B3A64"/>
    <w:rsid w:val="732330B3"/>
    <w:rsid w:val="734E32D9"/>
    <w:rsid w:val="73703111"/>
    <w:rsid w:val="73B32943"/>
    <w:rsid w:val="73F81D9D"/>
    <w:rsid w:val="747F58E7"/>
    <w:rsid w:val="74E41BEE"/>
    <w:rsid w:val="74E93A65"/>
    <w:rsid w:val="74F2182C"/>
    <w:rsid w:val="74F50668"/>
    <w:rsid w:val="75064800"/>
    <w:rsid w:val="754A1529"/>
    <w:rsid w:val="757545F4"/>
    <w:rsid w:val="75E34C23"/>
    <w:rsid w:val="75E63744"/>
    <w:rsid w:val="75FF7F19"/>
    <w:rsid w:val="762878B8"/>
    <w:rsid w:val="762A0487"/>
    <w:rsid w:val="764C17F9"/>
    <w:rsid w:val="765F694A"/>
    <w:rsid w:val="76861D13"/>
    <w:rsid w:val="768C1511"/>
    <w:rsid w:val="76AE0DB4"/>
    <w:rsid w:val="76AE182A"/>
    <w:rsid w:val="76BB697E"/>
    <w:rsid w:val="775A2E4C"/>
    <w:rsid w:val="77907B18"/>
    <w:rsid w:val="77B04009"/>
    <w:rsid w:val="77C62989"/>
    <w:rsid w:val="77E70453"/>
    <w:rsid w:val="77E776E6"/>
    <w:rsid w:val="78380B3E"/>
    <w:rsid w:val="787D213D"/>
    <w:rsid w:val="78A434E7"/>
    <w:rsid w:val="78D6541D"/>
    <w:rsid w:val="78FE661C"/>
    <w:rsid w:val="796C3F60"/>
    <w:rsid w:val="79892D64"/>
    <w:rsid w:val="7A1945B0"/>
    <w:rsid w:val="7A1F7224"/>
    <w:rsid w:val="7A7237F8"/>
    <w:rsid w:val="7A7577F0"/>
    <w:rsid w:val="7A927F38"/>
    <w:rsid w:val="7ADB139D"/>
    <w:rsid w:val="7B036D18"/>
    <w:rsid w:val="7B0F081A"/>
    <w:rsid w:val="7B617C75"/>
    <w:rsid w:val="7B7C7550"/>
    <w:rsid w:val="7BB10350"/>
    <w:rsid w:val="7BE12B0C"/>
    <w:rsid w:val="7C335ABB"/>
    <w:rsid w:val="7D130F71"/>
    <w:rsid w:val="7D272678"/>
    <w:rsid w:val="7D734944"/>
    <w:rsid w:val="7DB008BF"/>
    <w:rsid w:val="7DE315FF"/>
    <w:rsid w:val="7E260644"/>
    <w:rsid w:val="7E5D0D29"/>
    <w:rsid w:val="7E791DF6"/>
    <w:rsid w:val="7E924B2E"/>
    <w:rsid w:val="7EA66A1A"/>
    <w:rsid w:val="7EB45432"/>
    <w:rsid w:val="7EFE565A"/>
    <w:rsid w:val="7F395731"/>
    <w:rsid w:val="7F4B07E0"/>
    <w:rsid w:val="7F660BD1"/>
    <w:rsid w:val="7F7A5C32"/>
    <w:rsid w:val="7F7B6CAB"/>
    <w:rsid w:val="7F832698"/>
    <w:rsid w:val="7FC8637F"/>
    <w:rsid w:val="C75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27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75" w:hanging="575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  <w:jc w:val="center"/>
    </w:pPr>
  </w:style>
  <w:style w:type="paragraph" w:styleId="12">
    <w:name w:val="caption"/>
    <w:basedOn w:val="1"/>
    <w:next w:val="1"/>
    <w:unhideWhenUsed/>
    <w:qFormat/>
    <w:uiPriority w:val="0"/>
    <w:pPr>
      <w:numPr>
        <w:ilvl w:val="0"/>
        <w:numId w:val="2"/>
      </w:numPr>
      <w:ind w:left="425" w:hanging="425" w:firstLineChars="0"/>
    </w:pPr>
    <w:rPr>
      <w:rFonts w:ascii="Arial" w:hAnsi="Arial" w:eastAsia="黑体"/>
      <w:sz w:val="20"/>
    </w:rPr>
  </w:style>
  <w:style w:type="paragraph" w:styleId="1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character" w:customStyle="1" w:styleId="21">
    <w:name w:val="按钮背景"/>
    <w:qFormat/>
    <w:uiPriority w:val="1"/>
    <w:rPr>
      <w:bdr w:val="single" w:color="auto" w:sz="4" w:space="0"/>
      <w:shd w:val="clear" w:color="auto" w:fill="91ABDF" w:themeFill="accent1" w:themeFillTint="99"/>
    </w:rPr>
  </w:style>
  <w:style w:type="paragraph" w:customStyle="1" w:styleId="22">
    <w:name w:val="按钮"/>
    <w:basedOn w:val="1"/>
    <w:qFormat/>
    <w:uiPriority w:val="0"/>
    <w:pPr>
      <w:jc w:val="center"/>
    </w:pPr>
    <w:rPr>
      <w:b/>
      <w:sz w:val="48"/>
    </w:rPr>
  </w:style>
  <w:style w:type="paragraph" w:customStyle="1" w:styleId="23">
    <w:name w:val="文档属性标题（绿盟科技）"/>
    <w:basedOn w:val="1"/>
    <w:qFormat/>
    <w:uiPriority w:val="0"/>
    <w:pPr>
      <w:framePr w:hSpace="180" w:wrap="around" w:vAnchor="text" w:hAnchor="margin" w:xAlign="inside" w:y="121"/>
      <w:suppressOverlap/>
      <w:widowControl/>
      <w:spacing w:line="300" w:lineRule="auto"/>
      <w:jc w:val="left"/>
    </w:pPr>
    <w:rPr>
      <w:rFonts w:ascii="Arial" w:hAnsi="Arial" w:eastAsia="宋体" w:cs="Times New Roman"/>
      <w:b/>
      <w:sz w:val="18"/>
      <w:szCs w:val="21"/>
    </w:rPr>
  </w:style>
  <w:style w:type="paragraph" w:customStyle="1" w:styleId="24">
    <w:name w:val="文档属性（绿盟科技）"/>
    <w:basedOn w:val="23"/>
    <w:qFormat/>
    <w:uiPriority w:val="0"/>
    <w:pPr>
      <w:framePr w:wrap="around"/>
      <w:ind w:left="50" w:leftChars="50"/>
    </w:pPr>
    <w:rPr>
      <w:b w:val="0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标题 1 Char"/>
    <w:link w:val="3"/>
    <w:qFormat/>
    <w:uiPriority w:val="9"/>
    <w:rPr>
      <w:b/>
      <w:bCs/>
      <w:kern w:val="44"/>
      <w:sz w:val="32"/>
      <w:szCs w:val="44"/>
    </w:rPr>
  </w:style>
  <w:style w:type="character" w:customStyle="1" w:styleId="27">
    <w:name w:val="标题 2 Char"/>
    <w:link w:val="4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9" Type="http://schemas.openxmlformats.org/officeDocument/2006/relationships/fontTable" Target="fontTable.xml"/><Relationship Id="rId78" Type="http://schemas.openxmlformats.org/officeDocument/2006/relationships/numbering" Target="numbering.xml"/><Relationship Id="rId77" Type="http://schemas.openxmlformats.org/officeDocument/2006/relationships/customXml" Target="../customXml/item1.xml"/><Relationship Id="rId76" Type="http://schemas.openxmlformats.org/officeDocument/2006/relationships/image" Target="media/image68.png"/><Relationship Id="rId75" Type="http://schemas.openxmlformats.org/officeDocument/2006/relationships/image" Target="media/image67.png"/><Relationship Id="rId74" Type="http://schemas.openxmlformats.org/officeDocument/2006/relationships/image" Target="media/image66.png"/><Relationship Id="rId73" Type="http://schemas.openxmlformats.org/officeDocument/2006/relationships/image" Target="media/image65.png"/><Relationship Id="rId72" Type="http://schemas.openxmlformats.org/officeDocument/2006/relationships/image" Target="media/image64.png"/><Relationship Id="rId71" Type="http://schemas.openxmlformats.org/officeDocument/2006/relationships/image" Target="media/image63.png"/><Relationship Id="rId70" Type="http://schemas.openxmlformats.org/officeDocument/2006/relationships/image" Target="media/image62.png"/><Relationship Id="rId7" Type="http://schemas.openxmlformats.org/officeDocument/2006/relationships/footer" Target="footer2.xml"/><Relationship Id="rId69" Type="http://schemas.openxmlformats.org/officeDocument/2006/relationships/image" Target="media/image61.png"/><Relationship Id="rId68" Type="http://schemas.openxmlformats.org/officeDocument/2006/relationships/image" Target="media/image60.png"/><Relationship Id="rId67" Type="http://schemas.openxmlformats.org/officeDocument/2006/relationships/image" Target="media/image59.png"/><Relationship Id="rId66" Type="http://schemas.openxmlformats.org/officeDocument/2006/relationships/image" Target="media/image58.png"/><Relationship Id="rId65" Type="http://schemas.openxmlformats.org/officeDocument/2006/relationships/image" Target="media/image57.png"/><Relationship Id="rId64" Type="http://schemas.openxmlformats.org/officeDocument/2006/relationships/image" Target="media/image56.png"/><Relationship Id="rId63" Type="http://schemas.openxmlformats.org/officeDocument/2006/relationships/image" Target="media/image55.png"/><Relationship Id="rId62" Type="http://schemas.openxmlformats.org/officeDocument/2006/relationships/image" Target="media/image54.png"/><Relationship Id="rId61" Type="http://schemas.openxmlformats.org/officeDocument/2006/relationships/image" Target="media/image53.png"/><Relationship Id="rId60" Type="http://schemas.openxmlformats.org/officeDocument/2006/relationships/image" Target="media/image52.png"/><Relationship Id="rId6" Type="http://schemas.openxmlformats.org/officeDocument/2006/relationships/footer" Target="footer1.xml"/><Relationship Id="rId59" Type="http://schemas.openxmlformats.org/officeDocument/2006/relationships/image" Target="media/image51.png"/><Relationship Id="rId58" Type="http://schemas.openxmlformats.org/officeDocument/2006/relationships/image" Target="media/image50.png"/><Relationship Id="rId57" Type="http://schemas.openxmlformats.org/officeDocument/2006/relationships/image" Target="media/image49.png"/><Relationship Id="rId56" Type="http://schemas.openxmlformats.org/officeDocument/2006/relationships/image" Target="media/image48.png"/><Relationship Id="rId55" Type="http://schemas.openxmlformats.org/officeDocument/2006/relationships/image" Target="media/image47.png"/><Relationship Id="rId54" Type="http://schemas.openxmlformats.org/officeDocument/2006/relationships/image" Target="media/image46.png"/><Relationship Id="rId53" Type="http://schemas.openxmlformats.org/officeDocument/2006/relationships/image" Target="media/image45.png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header" Target="header1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endnotes" Target="endnotes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5549</Words>
  <Characters>5766</Characters>
  <Lines>0</Lines>
  <Paragraphs>0</Paragraphs>
  <TotalTime>1</TotalTime>
  <ScaleCrop>false</ScaleCrop>
  <LinksUpToDate>false</LinksUpToDate>
  <CharactersWithSpaces>5783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2023-08-25T16:12:00Z</dcterms:created>
  <dc:creator>岁月</dc:creator>
  <cp:lastModifiedBy>H</cp:lastModifiedBy>
  <dcterms:modified xsi:type="dcterms:W3CDTF">2026-07-16T09:28:23Z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1AA5D76C84CF4A16B6FF515D98C2C536_11</vt:lpwstr>
  </property>
  <property fmtid="{D5CDD505-2E9C-101B-9397-08002B2CF9AE}" pid="4" name="KSOTemplateDocerSaveRecord">
    <vt:lpwstr>eyJoZGlkIjoiMTExZTFlZWE0YWNlMDUzZTI5MDhmYjVjMWM4YjExMzQiLCJ1c2VySWQiOiI0ODAzMTI1NDgifQ==</vt:lpwstr>
  </property>
</Properties>
</file>